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47F7" w:rsidRDefault="002251EA">
      <w:pPr>
        <w:jc w:val="center"/>
        <w:rPr>
          <w:rFonts w:ascii="Overlock" w:eastAsia="Overlock" w:hAnsi="Overlock" w:cs="Overlock"/>
          <w:b/>
          <w:sz w:val="24"/>
          <w:szCs w:val="24"/>
        </w:rPr>
      </w:pPr>
      <w:bookmarkStart w:id="0" w:name="_GoBack"/>
      <w:bookmarkEnd w:id="0"/>
      <w:r>
        <w:rPr>
          <w:rFonts w:ascii="Overlock" w:eastAsia="Overlock" w:hAnsi="Overlock" w:cs="Overlock"/>
          <w:b/>
          <w:sz w:val="24"/>
          <w:szCs w:val="24"/>
        </w:rPr>
        <w:t>Red de Nodos de Innovación, Ciencia y Tecnología</w:t>
      </w:r>
    </w:p>
    <w:p w:rsidR="008647F7" w:rsidRDefault="002251EA">
      <w:pPr>
        <w:jc w:val="center"/>
        <w:rPr>
          <w:rFonts w:ascii="Overlock" w:eastAsia="Overlock" w:hAnsi="Overlock" w:cs="Overlock"/>
          <w:b/>
          <w:sz w:val="24"/>
          <w:szCs w:val="24"/>
        </w:rPr>
      </w:pPr>
      <w:r>
        <w:rPr>
          <w:rFonts w:ascii="Overlock" w:eastAsia="Overlock" w:hAnsi="Overlock" w:cs="Overlock"/>
          <w:b/>
          <w:sz w:val="24"/>
          <w:szCs w:val="24"/>
        </w:rPr>
        <w:t>Caracterización Nodo: Agropecuario y Agroindustrial</w:t>
      </w:r>
    </w:p>
    <w:p w:rsidR="008647F7" w:rsidRDefault="008647F7">
      <w:pPr>
        <w:jc w:val="center"/>
        <w:rPr>
          <w:rFonts w:ascii="Overlock" w:eastAsia="Overlock" w:hAnsi="Overlock" w:cs="Overlock"/>
          <w:b/>
          <w:sz w:val="24"/>
          <w:szCs w:val="24"/>
        </w:rPr>
      </w:pPr>
    </w:p>
    <w:p w:rsidR="008647F7" w:rsidRDefault="002251EA">
      <w:pPr>
        <w:rPr>
          <w:rFonts w:ascii="Overlock" w:eastAsia="Overlock" w:hAnsi="Overlock" w:cs="Overlock"/>
          <w:sz w:val="24"/>
          <w:szCs w:val="24"/>
        </w:rPr>
      </w:pPr>
      <w:r>
        <w:rPr>
          <w:rFonts w:ascii="Overlock" w:eastAsia="Overlock" w:hAnsi="Overlock" w:cs="Overlock"/>
          <w:sz w:val="24"/>
          <w:szCs w:val="24"/>
        </w:rPr>
        <w:t>Información base estado actual y oportunidades para la consolidación de la Red y los nodos</w:t>
      </w:r>
    </w:p>
    <w:p w:rsidR="008647F7" w:rsidRDefault="008647F7">
      <w:pPr>
        <w:rPr>
          <w:rFonts w:ascii="Overlock" w:eastAsia="Overlock" w:hAnsi="Overlock" w:cs="Overlock"/>
          <w:sz w:val="24"/>
          <w:szCs w:val="24"/>
        </w:rPr>
      </w:pPr>
    </w:p>
    <w:p w:rsidR="008647F7" w:rsidRDefault="002251EA">
      <w:pPr>
        <w:numPr>
          <w:ilvl w:val="0"/>
          <w:numId w:val="3"/>
        </w:numPr>
        <w:pBdr>
          <w:top w:val="nil"/>
          <w:left w:val="nil"/>
          <w:bottom w:val="nil"/>
          <w:right w:val="nil"/>
          <w:between w:val="nil"/>
        </w:pBdr>
        <w:spacing w:after="0"/>
        <w:rPr>
          <w:rFonts w:ascii="Overlock" w:eastAsia="Overlock" w:hAnsi="Overlock" w:cs="Overlock"/>
          <w:sz w:val="24"/>
          <w:szCs w:val="24"/>
        </w:rPr>
      </w:pPr>
      <w:r>
        <w:rPr>
          <w:rFonts w:ascii="Overlock" w:eastAsia="Overlock" w:hAnsi="Overlock" w:cs="Overlock"/>
          <w:color w:val="000000"/>
          <w:sz w:val="24"/>
          <w:szCs w:val="24"/>
        </w:rPr>
        <w:t>Realizar una breve descripción del sector industrial, económico o social del Nodo en Risaralda</w:t>
      </w:r>
    </w:p>
    <w:p w:rsidR="008647F7" w:rsidRDefault="002251EA">
      <w:r>
        <w:t>Caracterización de las cadenas agropecuarias del Departamento (Información contenida en el Plan departamental de extensión agropecuaria departamento de Risaralda):</w:t>
      </w:r>
    </w:p>
    <w:p w:rsidR="008647F7" w:rsidRDefault="002251EA">
      <w:r>
        <w:t xml:space="preserve">En el departamento de Risaralda existen 52 actividades productivas, donde el 71% son cultivos permanentes, 15% transitorios y 4% anuales. En el año 2015, la producción generada por actividades productivas fue de 396.997 (ton), en un área sembrada de 84.823 (has) donde se incluye el área de plátano asociado, con un total de 45.585 fincas. Según lo expuesto es evidente como existe una baja disponibilidad de territorio para la cantidad de productos que tiene el departamento bajo el criterio de que existen aproximadamente 195mil has para producir bienes agropecuarios, siendo el 44% el área en pastos. Lo anterior indica que la agricultura en Risaralda se cultiva bajo el criterio de minifundios, en su mayoría. De las áreas sembradas, el 60% se concentra en el café, el 22.7% en el plátano en sus tipologías asociado tradicional, tecnificado y solo; el aguacate en un 2.4%, la mora en un 0.5%, la cebolla larga en un 0.3% y las hortalizas, con una siembra de 21 has, no es mayormente significativa. </w:t>
      </w:r>
    </w:p>
    <w:p w:rsidR="008647F7" w:rsidRDefault="002251EA">
      <w:r>
        <w:t>PRINCIPALES BRECHAS</w:t>
      </w:r>
    </w:p>
    <w:p w:rsidR="008647F7" w:rsidRDefault="002251EA">
      <w:pPr>
        <w:numPr>
          <w:ilvl w:val="0"/>
          <w:numId w:val="4"/>
        </w:numPr>
        <w:pBdr>
          <w:top w:val="nil"/>
          <w:left w:val="nil"/>
          <w:bottom w:val="nil"/>
          <w:right w:val="nil"/>
          <w:between w:val="nil"/>
        </w:pBdr>
        <w:spacing w:after="0"/>
      </w:pPr>
      <w:r>
        <w:rPr>
          <w:color w:val="000000"/>
        </w:rPr>
        <w:t>Cadena del plátano:</w:t>
      </w:r>
    </w:p>
    <w:p w:rsidR="008647F7" w:rsidRDefault="002251EA">
      <w:pPr>
        <w:pBdr>
          <w:top w:val="nil"/>
          <w:left w:val="nil"/>
          <w:bottom w:val="nil"/>
          <w:right w:val="nil"/>
          <w:between w:val="nil"/>
        </w:pBdr>
        <w:spacing w:before="0" w:after="0"/>
        <w:ind w:left="720"/>
        <w:rPr>
          <w:color w:val="000000"/>
        </w:rPr>
      </w:pPr>
      <w:r>
        <w:rPr>
          <w:color w:val="000000"/>
          <w:u w:val="single"/>
        </w:rPr>
        <w:t>Preproducción:</w:t>
      </w:r>
      <w:r>
        <w:rPr>
          <w:color w:val="000000"/>
        </w:rPr>
        <w:t xml:space="preserve"> Se presentan problemas en la planificación del cultivo, en la escasez de información referente a buenas prácticas a la hora de cultivar plátano, incluyendo la selección de suelos y semillas; el material de siembra no es de buena calidad y no existe mano de obra que sea constante. Adicionalmente, en este eslabón se menciona el mal estado de vías terciaras, debido a que esto influye negativamente en los posibles cultivadores futuros, ya que en fases posteriores este problema se convierte en un obstáculo mayor. Para lo anterior, algunas soluciones son el emplear medio de transportes alternativos como las garruchas, así como fomentar la asociatividad entre productores. Adicionalmente se hace énfasis en la necesidad de un servicio de asistencia técnica integral, donde se acompañe al productor desde esta fase, y así generar procesos de diagnósticos comerciales. </w:t>
      </w:r>
    </w:p>
    <w:p w:rsidR="008647F7" w:rsidRDefault="002251EA">
      <w:pPr>
        <w:pBdr>
          <w:top w:val="nil"/>
          <w:left w:val="nil"/>
          <w:bottom w:val="nil"/>
          <w:right w:val="nil"/>
          <w:between w:val="nil"/>
        </w:pBdr>
        <w:spacing w:before="0" w:after="0"/>
        <w:ind w:left="720"/>
        <w:rPr>
          <w:color w:val="000000"/>
        </w:rPr>
      </w:pPr>
      <w:r>
        <w:rPr>
          <w:color w:val="000000"/>
          <w:u w:val="single"/>
        </w:rPr>
        <w:t>Producción:</w:t>
      </w:r>
      <w:r>
        <w:rPr>
          <w:color w:val="000000"/>
        </w:rPr>
        <w:t xml:space="preserve"> Existen problemas en torno a las prácticas culturales durante la cosecha, como el deshoje, el </w:t>
      </w:r>
      <w:proofErr w:type="spellStart"/>
      <w:r>
        <w:rPr>
          <w:color w:val="000000"/>
        </w:rPr>
        <w:t>descoline</w:t>
      </w:r>
      <w:proofErr w:type="spellEnd"/>
      <w:r>
        <w:rPr>
          <w:color w:val="000000"/>
        </w:rPr>
        <w:t xml:space="preserve"> y la falta de procesos para prevenir plagas y enfermedades. Para que </w:t>
      </w:r>
      <w:proofErr w:type="gramStart"/>
      <w:r>
        <w:rPr>
          <w:color w:val="000000"/>
        </w:rPr>
        <w:t>éstos</w:t>
      </w:r>
      <w:proofErr w:type="gramEnd"/>
      <w:r>
        <w:rPr>
          <w:color w:val="000000"/>
        </w:rPr>
        <w:t xml:space="preserve"> problemas trasciendan positivamente, se responsabiliza a los técnicos, entidades como el ICA, la gobernación y al mismo productor para generar procesos de capacitación. Las problemáticas ligadas a los elevados costos de producción se pueden abordar mediante la implementación de una matriz de costos, liderada por expertos que viabilicen dicha información en los productores. En este eslabón también se encuentra la falta de conocimiento técnico por parte de los productores, así como una baja presencia de técnicos especializados. El abordaje de estas </w:t>
      </w:r>
      <w:r>
        <w:rPr>
          <w:color w:val="000000"/>
        </w:rPr>
        <w:lastRenderedPageBreak/>
        <w:t xml:space="preserve">problemáticas se puede hacer a través de procesos de capacitación junto a experiencias positivas que amplíen la visión del agricultor a la hora de implementar nuevos sistemas tecnológicos. La responsabilidad de contar con técnicos especialistas es de las entidades prestadoras del servicio de acompañamiento técnico. </w:t>
      </w:r>
    </w:p>
    <w:p w:rsidR="008647F7" w:rsidRDefault="002251EA">
      <w:pPr>
        <w:pBdr>
          <w:top w:val="nil"/>
          <w:left w:val="nil"/>
          <w:bottom w:val="nil"/>
          <w:right w:val="nil"/>
          <w:between w:val="nil"/>
        </w:pBdr>
        <w:spacing w:before="0" w:after="0"/>
        <w:ind w:left="720"/>
        <w:rPr>
          <w:color w:val="000000"/>
        </w:rPr>
      </w:pPr>
      <w:proofErr w:type="spellStart"/>
      <w:r>
        <w:rPr>
          <w:color w:val="000000"/>
          <w:u w:val="single"/>
        </w:rPr>
        <w:t>Poscosecha</w:t>
      </w:r>
      <w:proofErr w:type="spellEnd"/>
      <w:r>
        <w:rPr>
          <w:color w:val="000000"/>
          <w:u w:val="single"/>
        </w:rPr>
        <w:t>:</w:t>
      </w:r>
      <w:r>
        <w:rPr>
          <w:color w:val="000000"/>
        </w:rPr>
        <w:t xml:space="preserve"> Los dos principales problemas son la falta de vías y la inexistencia de centros de acopio en condiciones adecuadas para el almacenamiento de los productos. Tal como se mencionó en el eslabón de preproducción, la problemática en torno a las vías tiene una influencia negativa en diferentes momentos de la cadena. Se propone implementar medios de transporte alternativos, siempre y cuando a mediano plazo las vías tengan una intervención y mejoren. Frente al problema con el almacenamiento de los productos, la asociatividad juega un papel fundamental, ya que se podría trabajar mancomunadamente en esta fase.</w:t>
      </w:r>
    </w:p>
    <w:p w:rsidR="008647F7" w:rsidRDefault="002251EA">
      <w:pPr>
        <w:pBdr>
          <w:top w:val="nil"/>
          <w:left w:val="nil"/>
          <w:bottom w:val="nil"/>
          <w:right w:val="nil"/>
          <w:between w:val="nil"/>
        </w:pBdr>
        <w:spacing w:before="0" w:after="0"/>
        <w:ind w:left="720"/>
        <w:rPr>
          <w:color w:val="000000"/>
        </w:rPr>
      </w:pPr>
      <w:r>
        <w:rPr>
          <w:color w:val="000000"/>
          <w:u w:val="single"/>
        </w:rPr>
        <w:t>Mercadeo:</w:t>
      </w:r>
      <w:r>
        <w:rPr>
          <w:color w:val="000000"/>
        </w:rPr>
        <w:t xml:space="preserve"> No existe una regulación frente a los intermediaros durante la comercialización, generando que las ganancias disminuyan para los productores. Los procesos de exportación junto a aspectos específicos del mercado se asocian a carencias en procesos de capacitación, los cuales deben ser liderados por gremios y entidades públicas. Adicionalmente, se menciona que existen demasiados intereses personales ligados a la política en manos del gobernante de turno, lo cual favorece sólo a algunas personas, reduciendo la posibilidad de ampliar los mercados de pequeños y medianos productores. Por último, en este eslabón se menciona que no existen procesos que le brinden un valor agregado al producto, lo cual limita los canales de comercialización.</w:t>
      </w:r>
    </w:p>
    <w:p w:rsidR="008647F7" w:rsidRDefault="002251EA">
      <w:pPr>
        <w:numPr>
          <w:ilvl w:val="0"/>
          <w:numId w:val="4"/>
        </w:numPr>
        <w:pBdr>
          <w:top w:val="nil"/>
          <w:left w:val="nil"/>
          <w:bottom w:val="nil"/>
          <w:right w:val="nil"/>
          <w:between w:val="nil"/>
        </w:pBdr>
        <w:spacing w:before="0" w:after="0"/>
      </w:pPr>
      <w:r>
        <w:rPr>
          <w:color w:val="000000"/>
        </w:rPr>
        <w:t xml:space="preserve">Cadena de </w:t>
      </w:r>
      <w:proofErr w:type="spellStart"/>
      <w:r>
        <w:rPr>
          <w:color w:val="000000"/>
        </w:rPr>
        <w:t>Agroganadería</w:t>
      </w:r>
      <w:proofErr w:type="spellEnd"/>
      <w:r>
        <w:rPr>
          <w:color w:val="000000"/>
        </w:rPr>
        <w:t xml:space="preserve"> (Producción y leche)</w:t>
      </w:r>
    </w:p>
    <w:p w:rsidR="008647F7" w:rsidRDefault="002251EA">
      <w:pPr>
        <w:pBdr>
          <w:top w:val="nil"/>
          <w:left w:val="nil"/>
          <w:bottom w:val="nil"/>
          <w:right w:val="nil"/>
          <w:between w:val="nil"/>
        </w:pBdr>
        <w:spacing w:before="0" w:after="0"/>
        <w:ind w:left="720"/>
        <w:rPr>
          <w:color w:val="000000"/>
        </w:rPr>
      </w:pPr>
      <w:r>
        <w:rPr>
          <w:color w:val="000000"/>
          <w:u w:val="single"/>
        </w:rPr>
        <w:t xml:space="preserve">Preproducción: </w:t>
      </w:r>
      <w:r>
        <w:rPr>
          <w:color w:val="000000"/>
        </w:rPr>
        <w:t xml:space="preserve">En este eslabón se identifica que las principales problemáticas son la dificultad por parte de los productores de cumplir con los permisos del INVIMA, ya sea por desconocimiento, falta de acompañamiento en el proceso y en muchos casos porque se tienen una serie de imaginarios que permean este tema. Allí es fundamental que exista un apoyo económico para las asociaciones a la hora de obtener el registro, así como el acompañamiento de técnicos y profesionales en todo el proceso. Los intereses políticos se mencionan en este eslabón, debido a que muchos mandatarios les prestan mayor atención a ciertas cadenas dependiendo de su forma de gobierno, motivo por el cual el gremio </w:t>
      </w:r>
      <w:proofErr w:type="spellStart"/>
      <w:r>
        <w:rPr>
          <w:color w:val="000000"/>
        </w:rPr>
        <w:t>agroganadero</w:t>
      </w:r>
      <w:proofErr w:type="spellEnd"/>
      <w:r>
        <w:rPr>
          <w:color w:val="000000"/>
        </w:rPr>
        <w:t xml:space="preserve"> se siente afectado de manera directa. Los apoyos no son constantes ni los regulan. Existe una baja calidad en el material genético que se emplea de acuerdo a la zona.</w:t>
      </w:r>
    </w:p>
    <w:p w:rsidR="008647F7" w:rsidRDefault="002251EA">
      <w:pPr>
        <w:pBdr>
          <w:top w:val="nil"/>
          <w:left w:val="nil"/>
          <w:bottom w:val="nil"/>
          <w:right w:val="nil"/>
          <w:between w:val="nil"/>
        </w:pBdr>
        <w:spacing w:before="0" w:after="0"/>
        <w:ind w:left="720"/>
        <w:rPr>
          <w:color w:val="000000"/>
        </w:rPr>
      </w:pPr>
      <w:r>
        <w:rPr>
          <w:color w:val="000000"/>
          <w:u w:val="single"/>
        </w:rPr>
        <w:t xml:space="preserve">Producción: </w:t>
      </w:r>
      <w:r>
        <w:rPr>
          <w:color w:val="000000"/>
        </w:rPr>
        <w:t>Aquí se identifica una baja productividad, lo cual no permite que existan volúmenes constantes del producto, dificultando posteriormente su comercialización. Así mismo, existe una baja cobertura en la implementación de buenas prácticas ganaderas, aspecto que le compete a FEDEGAN y entidades municipales para generar procesos constantes y que no representen un gasto adicional para los productores. Dentro de las alternativas de solución se propone generar un paquete tecnológico e integral que aborde desde el acondicionamiento de los suelos hasta el desarrollo genético de los animales.</w:t>
      </w:r>
    </w:p>
    <w:p w:rsidR="008647F7" w:rsidRDefault="002251EA">
      <w:pPr>
        <w:pBdr>
          <w:top w:val="nil"/>
          <w:left w:val="nil"/>
          <w:bottom w:val="nil"/>
          <w:right w:val="nil"/>
          <w:between w:val="nil"/>
        </w:pBdr>
        <w:spacing w:before="0" w:after="0"/>
        <w:ind w:left="720"/>
        <w:rPr>
          <w:color w:val="000000"/>
        </w:rPr>
      </w:pPr>
      <w:proofErr w:type="spellStart"/>
      <w:r>
        <w:rPr>
          <w:color w:val="000000"/>
          <w:u w:val="single"/>
        </w:rPr>
        <w:t>Poscosecha</w:t>
      </w:r>
      <w:proofErr w:type="spellEnd"/>
      <w:r>
        <w:rPr>
          <w:color w:val="000000"/>
          <w:u w:val="single"/>
        </w:rPr>
        <w:t>:</w:t>
      </w:r>
      <w:r>
        <w:rPr>
          <w:color w:val="000000"/>
        </w:rPr>
        <w:t xml:space="preserve"> Frente a este eslabón se tiene que no se cuenta con centros de acopio y que la cadena de frio para muchos productos no se puede garantizar debido al tipo de transporte con el que se cuenta. En este punto es clave el fortalecimiento asociativo y el direccionamiento estratégico productivo. Se identifica a su vez que no hay procesos agroindustriales, lo cual requiere de estrategias formativas e innovadoras.</w:t>
      </w:r>
    </w:p>
    <w:p w:rsidR="008647F7" w:rsidRDefault="002251EA">
      <w:pPr>
        <w:pBdr>
          <w:top w:val="nil"/>
          <w:left w:val="nil"/>
          <w:bottom w:val="nil"/>
          <w:right w:val="nil"/>
          <w:between w:val="nil"/>
        </w:pBdr>
        <w:spacing w:before="0" w:after="0"/>
        <w:ind w:left="720"/>
        <w:rPr>
          <w:color w:val="000000"/>
        </w:rPr>
      </w:pPr>
      <w:r>
        <w:rPr>
          <w:color w:val="000000"/>
          <w:u w:val="single"/>
        </w:rPr>
        <w:t>Mercadeo:</w:t>
      </w:r>
      <w:r>
        <w:rPr>
          <w:color w:val="000000"/>
        </w:rPr>
        <w:t xml:space="preserve">  En este último eslabón se encuentra que existe una disminución en el consumo de carne y leche a nivel nacional, lo cual se puede abordar generando campañas que promuevan los </w:t>
      </w:r>
      <w:r>
        <w:rPr>
          <w:color w:val="000000"/>
        </w:rPr>
        <w:lastRenderedPageBreak/>
        <w:t xml:space="preserve">beneficios del consumo de dichos productos, así como desmontando mitos que existen en torno a los mismos. En el departamento hay un desconocimiento de mercados especializados (en donde existe un gran número de intermediarios), lo cual incide de manera aún más negativa si se analiza junto otra problemática que es la existencia de pocos aliados comerciales, asuntos que se pueden abordar incrementando procesos de asociatividad e incrementando los volúmenes de producción. Por último, los costos de transporte son bastante elevados, lo cual dificulta la comercialización de productos. </w:t>
      </w:r>
    </w:p>
    <w:p w:rsidR="008647F7" w:rsidRDefault="002251EA">
      <w:pPr>
        <w:numPr>
          <w:ilvl w:val="0"/>
          <w:numId w:val="4"/>
        </w:numPr>
        <w:pBdr>
          <w:top w:val="nil"/>
          <w:left w:val="nil"/>
          <w:bottom w:val="nil"/>
          <w:right w:val="nil"/>
          <w:between w:val="nil"/>
        </w:pBdr>
        <w:spacing w:before="0" w:after="0"/>
      </w:pPr>
      <w:r>
        <w:rPr>
          <w:color w:val="000000"/>
        </w:rPr>
        <w:t xml:space="preserve">Cadena de la Mora </w:t>
      </w:r>
    </w:p>
    <w:p w:rsidR="008647F7" w:rsidRDefault="002251EA">
      <w:pPr>
        <w:pBdr>
          <w:top w:val="nil"/>
          <w:left w:val="nil"/>
          <w:bottom w:val="nil"/>
          <w:right w:val="nil"/>
          <w:between w:val="nil"/>
        </w:pBdr>
        <w:spacing w:before="0" w:after="0"/>
        <w:ind w:left="720"/>
        <w:rPr>
          <w:color w:val="000000"/>
        </w:rPr>
      </w:pPr>
      <w:r>
        <w:rPr>
          <w:color w:val="000000"/>
          <w:u w:val="single"/>
        </w:rPr>
        <w:t>Preproducción</w:t>
      </w:r>
      <w:r>
        <w:rPr>
          <w:color w:val="000000"/>
        </w:rPr>
        <w:t xml:space="preserve">: En este eslabón se encuentra que existe dificultad a la hora de acceder a créditos, lo cual se podría contrarrestar con la unificación de criterios de entidades de crédito y productores y llegar a acuerdos que beneficien a ambas partes, así como reconocer las particularidades que existe en el territorio. Otra problemática identificada es la falta de una planificación del mercado, lo cual sería una actividad previa necesaria para que un productor pueda determinar si es viable iniciar todo un proceso de cultivo de mora. Para ello es necesario que haya una fase de diagnóstico inicial. Se identifica también, que existe un cambio en el departamento del uso de suelo, lo cual obliga a contar con un EOT actualizado. Por último, se tiene que la mano de obra es demasiada escaza, justamente debido al grado de desempeño que se tiene de la mora en el departamento. Si se logra mejorar los precios, probablemente mayor cantidad de personas se motiven a cultivar este producto. </w:t>
      </w:r>
    </w:p>
    <w:p w:rsidR="008647F7" w:rsidRDefault="002251EA">
      <w:pPr>
        <w:pBdr>
          <w:top w:val="nil"/>
          <w:left w:val="nil"/>
          <w:bottom w:val="nil"/>
          <w:right w:val="nil"/>
          <w:between w:val="nil"/>
        </w:pBdr>
        <w:spacing w:before="0" w:after="0"/>
        <w:ind w:left="720"/>
        <w:rPr>
          <w:color w:val="000000"/>
        </w:rPr>
      </w:pPr>
      <w:r>
        <w:rPr>
          <w:color w:val="000000"/>
          <w:u w:val="single"/>
        </w:rPr>
        <w:t>Producción:</w:t>
      </w:r>
      <w:r>
        <w:rPr>
          <w:color w:val="000000"/>
        </w:rPr>
        <w:t xml:space="preserve">  Este es el eslabón donde existe mayor número de problemáticas. El primero se liga a los altos costos de los insumos necesarios para el cultivo, así como los daño por plagas y enfermedades que se presentan. Esto se puede mitigar teniendo un apoyo y acompañamiento por parte de entidades que cumplen dicho rol. En la fase de almacenamiento se encuentra un gran problema en torno a la especificidad en la cadena de frio que debe existir en este cultivo, lo cual se relaciona con lo mencionado anteriormente. Se tiene que hay una falta de experticia técnica en la gobernación, lo cual incide en la confianza de los productores y genera que menos personas se vinculen al cultivo de mora. Esto tiene una relación directa con el que no haya relevo generacional, lo cual obliga a pensar en estrategias que hagan el campo algo más atractivo. Por último, se evidencia que en el departamento existen muchas zonas donde no se cuenta con agua potable, lo cual dificulta todo el proceso de producción de la cadena. Indispensable el apoyo institucional para mejorar la calidad y el acceso al agua.</w:t>
      </w:r>
    </w:p>
    <w:p w:rsidR="008647F7" w:rsidRDefault="002251EA">
      <w:pPr>
        <w:pBdr>
          <w:top w:val="nil"/>
          <w:left w:val="nil"/>
          <w:bottom w:val="nil"/>
          <w:right w:val="nil"/>
          <w:between w:val="nil"/>
        </w:pBdr>
        <w:spacing w:before="0" w:after="0"/>
        <w:ind w:left="720"/>
        <w:rPr>
          <w:color w:val="000000"/>
        </w:rPr>
      </w:pPr>
      <w:proofErr w:type="spellStart"/>
      <w:r>
        <w:rPr>
          <w:color w:val="000000"/>
          <w:u w:val="single"/>
        </w:rPr>
        <w:t>Poscosecha</w:t>
      </w:r>
      <w:proofErr w:type="spellEnd"/>
      <w:r>
        <w:rPr>
          <w:color w:val="000000"/>
          <w:u w:val="single"/>
        </w:rPr>
        <w:t>:</w:t>
      </w:r>
      <w:r>
        <w:rPr>
          <w:color w:val="000000"/>
        </w:rPr>
        <w:t xml:space="preserve"> Las problemáticas en este eslabón están relacionadas con la falta de investigación en mejoramiento genético, aspecto que requiere que exista un apoyo institucional constante. Dicho apoyo se liga a la deficiente infraestructura para el acopio, lo cual también se puede abordar mediante la asociatividad de productores. Por último, se encuentra que existe un gran número de daños mecánicos, aspecto que se puede tramitar mediante el mejoramiento de vías. </w:t>
      </w:r>
    </w:p>
    <w:p w:rsidR="008647F7" w:rsidRDefault="002251EA">
      <w:pPr>
        <w:pBdr>
          <w:top w:val="nil"/>
          <w:left w:val="nil"/>
          <w:bottom w:val="nil"/>
          <w:right w:val="nil"/>
          <w:between w:val="nil"/>
        </w:pBdr>
        <w:spacing w:before="0" w:after="0"/>
        <w:ind w:left="720"/>
        <w:rPr>
          <w:color w:val="000000"/>
        </w:rPr>
      </w:pPr>
      <w:r>
        <w:rPr>
          <w:color w:val="000000"/>
          <w:u w:val="single"/>
        </w:rPr>
        <w:t>Mercadeo:</w:t>
      </w:r>
      <w:r>
        <w:rPr>
          <w:color w:val="000000"/>
        </w:rPr>
        <w:t xml:space="preserve">  En el eslabón del mercadeo para la cadena de la mora, se encuentra que hay un escaso desarrollo y promoción de mercados, así como un desconocimiento de la demanda en el departamento respecto al cultivo de la mora, lo cual genera la necesidad de que existan investigaciones de mercados, análisis de oferta y demanda para así generar planes estratégicos positivos. Adicionalmente, se tienen altos costos para certificar los diferentes productos, lo cual se puede abordar mediante un acompañamiento de entidades de certificación que orienten a los productores en todo el proceso. Un aspecto importante, es que hay una escasa agregación de valor en el producto, limitando los espacios de comercialización. Para ellos es fundamental que </w:t>
      </w:r>
      <w:r>
        <w:rPr>
          <w:color w:val="000000"/>
        </w:rPr>
        <w:lastRenderedPageBreak/>
        <w:t xml:space="preserve">haya un desarrollo del producto, orientado por profesionales que brinden dicho acompañamiento al productor. </w:t>
      </w:r>
    </w:p>
    <w:p w:rsidR="008647F7" w:rsidRDefault="002251EA">
      <w:pPr>
        <w:numPr>
          <w:ilvl w:val="0"/>
          <w:numId w:val="4"/>
        </w:numPr>
        <w:pBdr>
          <w:top w:val="nil"/>
          <w:left w:val="nil"/>
          <w:bottom w:val="nil"/>
          <w:right w:val="nil"/>
          <w:between w:val="nil"/>
        </w:pBdr>
        <w:spacing w:before="0" w:after="0"/>
      </w:pPr>
      <w:r>
        <w:rPr>
          <w:color w:val="000000"/>
        </w:rPr>
        <w:t xml:space="preserve">Cadena de Caña panelera </w:t>
      </w:r>
    </w:p>
    <w:p w:rsidR="008647F7" w:rsidRDefault="002251EA">
      <w:pPr>
        <w:pBdr>
          <w:top w:val="nil"/>
          <w:left w:val="nil"/>
          <w:bottom w:val="nil"/>
          <w:right w:val="nil"/>
          <w:between w:val="nil"/>
        </w:pBdr>
        <w:spacing w:before="0" w:after="0"/>
        <w:ind w:left="720"/>
        <w:rPr>
          <w:color w:val="000000"/>
        </w:rPr>
      </w:pPr>
      <w:r>
        <w:rPr>
          <w:color w:val="000000"/>
          <w:u w:val="single"/>
        </w:rPr>
        <w:t>Preproducción:</w:t>
      </w:r>
      <w:r>
        <w:rPr>
          <w:color w:val="000000"/>
        </w:rPr>
        <w:t xml:space="preserve"> En esta fase se encuentra una falta de apoyo a la cadena como tal en el departamento, sumado a que no existe una regulación en varias fases de la producción de la panela. En este punto es importante que la normatividad se aplique y se regularice la producción, teniendo en cuenta las particularidades del departamento y sus municipios. Frente a las áreas destinadas para cultivar se encuentra que las hectáreas son demasiado pequeñas, aspecto que se puede mejorar garantizando el acceso y titulación de tierras a los productores de manera legal. Un aspecto importante que comparte esta cadena con otras en el departamento es que no hay empalme generacional, lo cual genera que los jóvenes no deseen continuar con los procesos de cultivo. Allí es fundamental que existan incentivos de diferente índole y motivación constante e integral por parte de las diferentes instituciones que están en constante comunicación y trabajo con los productores. En este cultivo también se percibe una inadecuada planificación para la asociatividad entre productores, aspecto que repercute negativamente a lo largo de toda la cadena. Es fundamental que se garantice un acompañamiento a los procesos de asociatividad, con el fin de que cumplan con los requisitos de ley. Por último, se percibe que las instituciones son débiles y sus procesos no son constantes, lo cual se puede abordar mediante el fortalecimiento institucional (asociatividad-administración).</w:t>
      </w:r>
    </w:p>
    <w:p w:rsidR="008647F7" w:rsidRDefault="002251EA">
      <w:pPr>
        <w:pBdr>
          <w:top w:val="nil"/>
          <w:left w:val="nil"/>
          <w:bottom w:val="nil"/>
          <w:right w:val="nil"/>
          <w:between w:val="nil"/>
        </w:pBdr>
        <w:spacing w:before="0" w:after="0"/>
        <w:ind w:left="720"/>
        <w:rPr>
          <w:color w:val="000000"/>
        </w:rPr>
      </w:pPr>
      <w:r>
        <w:rPr>
          <w:color w:val="000000"/>
          <w:u w:val="single"/>
        </w:rPr>
        <w:t>Producción:</w:t>
      </w:r>
      <w:r>
        <w:rPr>
          <w:color w:val="000000"/>
        </w:rPr>
        <w:t xml:space="preserve">  En este eslabón se encuentra una baja disponibilidad de mano de obra, aspecto que se puede abordar mediante subsidios que permitan mejorar la condición económica del productor y su familia. Adicionalmente, existe una falta de tecnología para la optimización de los trapiches, repercutiendo en la calidad del producto y el nivel de producción del mismo. Es indispensable que exista un sistema de riego y mantenimiento, así como procesos de optimización de las cuencas en la región. Frente a la renovación de cultivos, se encuentra que, debido a la baja calidad genética de las semillas, los resultados no siempre son los esperado a pesar de la inversión que se hace a todo el proceso de cultivo. Para ello el mejoramiento de semillas con las cuales se trabaja es clave. Por último, se encuentran deficientes prácticas culturales que repercuten negativamente en este eslabón. Una capacitación constante y eficiente puede prevenir este riesgo. </w:t>
      </w:r>
      <w:proofErr w:type="spellStart"/>
      <w:r>
        <w:rPr>
          <w:color w:val="000000"/>
        </w:rPr>
        <w:t>Poscosecha</w:t>
      </w:r>
      <w:proofErr w:type="spellEnd"/>
      <w:r>
        <w:rPr>
          <w:color w:val="000000"/>
        </w:rPr>
        <w:t xml:space="preserve"> En este eslabón existen dificultades en torno a los procesos de empaque y almacenamiento. Lo primero se puede abordar mediante la unificación y creación de una marca, apoyándose en procesos de asociatividad. Frente al segundo aspecto, es fundamental tener centros de acopio de calidad. El transporte se torna muchas veces engorroso debido a que no hay opciones frente a como se moviliza el producto. A través del mejoramiento y adecuación de otros medios de transporte este aspecto se puede cambiar positivamente. </w:t>
      </w:r>
    </w:p>
    <w:p w:rsidR="008647F7" w:rsidRDefault="002251EA">
      <w:pPr>
        <w:pBdr>
          <w:top w:val="nil"/>
          <w:left w:val="nil"/>
          <w:bottom w:val="nil"/>
          <w:right w:val="nil"/>
          <w:between w:val="nil"/>
        </w:pBdr>
        <w:spacing w:before="0" w:after="0"/>
        <w:ind w:left="720"/>
        <w:rPr>
          <w:color w:val="000000"/>
        </w:rPr>
      </w:pPr>
      <w:r>
        <w:rPr>
          <w:color w:val="000000"/>
          <w:u w:val="single"/>
        </w:rPr>
        <w:t>Mercadeo:</w:t>
      </w:r>
      <w:r>
        <w:rPr>
          <w:color w:val="000000"/>
        </w:rPr>
        <w:t xml:space="preserve">  En este último eslabón se percibe un individualismo entre los productores dentro del departamento, así como una falta de posicionamiento frente a lo que se produce. Es fundamental generar un fortalecimiento de la asociatividad entre productores, porque como vimos anteriormente, esto ayuda a abordar otras problemáticas a lo largo de toda la cadena </w:t>
      </w:r>
      <w:proofErr w:type="spellStart"/>
      <w:r>
        <w:rPr>
          <w:color w:val="000000"/>
        </w:rPr>
        <w:t>agroproductiva</w:t>
      </w:r>
      <w:proofErr w:type="spellEnd"/>
      <w:r>
        <w:rPr>
          <w:color w:val="000000"/>
        </w:rPr>
        <w:t xml:space="preserve">. Otro aspecto por tratar es el que existan pocos productos derivados de la caña, lo cual, mediante la innovación en la creación de nuevos productos y el aprovechamiento de la fibra, se podría implementar, ampliando el mercado. A su vez se encuentra que los costos de certificación del producto son demasiado elevados, lo cual dificulta que los pequeños productores puedan acceder a los mismos. Adicionalmente se evidencia una disminución en el consumo del </w:t>
      </w:r>
      <w:r>
        <w:rPr>
          <w:color w:val="000000"/>
        </w:rPr>
        <w:lastRenderedPageBreak/>
        <w:t xml:space="preserve">producto debido al aumento de endulzantes sin calorías en el mercado. Campañas que promuevan los beneficios del consumo de la panela, así como el reconocimiento histórico de su consumo en el país son clave. </w:t>
      </w:r>
    </w:p>
    <w:p w:rsidR="008647F7" w:rsidRDefault="002251EA">
      <w:pPr>
        <w:numPr>
          <w:ilvl w:val="0"/>
          <w:numId w:val="4"/>
        </w:numPr>
        <w:pBdr>
          <w:top w:val="nil"/>
          <w:left w:val="nil"/>
          <w:bottom w:val="nil"/>
          <w:right w:val="nil"/>
          <w:between w:val="nil"/>
        </w:pBdr>
        <w:spacing w:before="0" w:after="0"/>
      </w:pPr>
      <w:r>
        <w:rPr>
          <w:color w:val="000000"/>
        </w:rPr>
        <w:t xml:space="preserve">Cadena del Aguacate </w:t>
      </w:r>
    </w:p>
    <w:p w:rsidR="008647F7" w:rsidRDefault="002251EA">
      <w:pPr>
        <w:pBdr>
          <w:top w:val="nil"/>
          <w:left w:val="nil"/>
          <w:bottom w:val="nil"/>
          <w:right w:val="nil"/>
          <w:between w:val="nil"/>
        </w:pBdr>
        <w:spacing w:before="0" w:after="0"/>
        <w:ind w:left="720"/>
        <w:rPr>
          <w:color w:val="000000"/>
        </w:rPr>
      </w:pPr>
      <w:r>
        <w:rPr>
          <w:color w:val="000000"/>
          <w:u w:val="single"/>
        </w:rPr>
        <w:t>Preproducción:</w:t>
      </w:r>
      <w:r>
        <w:rPr>
          <w:color w:val="000000"/>
        </w:rPr>
        <w:t xml:space="preserve"> Este eslabón agrupa varias problemáticas que repercuten negativamente en otras fases de la cadena. La primera es la falta de tiempos de planeación en proyectos, los cuales no son acordes a los periodos óptimos para la producción o en general frente a los cronogramas de los proyectos. El contrabando del producto ha aumento debido a la falta de control en las fronteras para prevenirlo. La planificación técnica, financiera, de infraestructura y de recursos hídricos es demasiado precaria, debido a la calidad de los prestadores de los servicios y de la poca cantidad de profesionales existentes. A su vez, no existe trasferencia tecnológica, debido a los altos costos y a la metodología empleada a la hora de prestar un servicio de asistencia técnica. Es fundamental mejorar dicha asistencia, para garantizar su integralidad. Adicionalmente, se presenta una baja calidad de semillas y material vegetal; la vigilancia en los orígenes de los patrones y materiales en general se hace fundamental y debe estar en manos de conocedores y expertos. Su acceso debe facilitarse a los productores. Se encuentra una falta de relevo generacional, limitando la mano de obra y dejando de lado saberes ancestrales. En muchos casos los suelos no son aptos para este cultivo y a pesar de que se realicen análisis, éstos no son tenidos en cuenta o no se generan mecanismos alternativos para adelantar los cultivos en otras partes. Por último, se encuentran políticas inadecuadas que no son acordes a las necesidades del territorio. Sólo garantizando esto último se obtendrán cambios positivos a largo plazo. </w:t>
      </w:r>
    </w:p>
    <w:p w:rsidR="008647F7" w:rsidRDefault="002251EA">
      <w:pPr>
        <w:pBdr>
          <w:top w:val="nil"/>
          <w:left w:val="nil"/>
          <w:bottom w:val="nil"/>
          <w:right w:val="nil"/>
          <w:between w:val="nil"/>
        </w:pBdr>
        <w:spacing w:before="0" w:after="0"/>
        <w:ind w:left="720"/>
        <w:rPr>
          <w:color w:val="000000"/>
        </w:rPr>
      </w:pPr>
      <w:r>
        <w:rPr>
          <w:color w:val="000000"/>
          <w:u w:val="single"/>
        </w:rPr>
        <w:t>Producción:</w:t>
      </w:r>
      <w:r>
        <w:rPr>
          <w:color w:val="000000"/>
        </w:rPr>
        <w:t xml:space="preserve">  En este eslabón se encuentra que las condiciones ambientales en el departamento suelen ser desfavorables para este cultivo. Es importante generar capacitaciones en manejo adecuado de los recursos naturales y seguimiento continuo en zonas afectadas o contaminadas. Los altos costos de plaguicidas y fertilizantes hacen que muchos productores no puedan acceder a los mismos, generando pérdidas considerables en un aspecto que se puede prevenir. De allí la importancia de la regulación y legislación de precios, procurando siempre atender la demanda. Frente a la cadena del aguacate, se encuentran problemas fitosanitarios por falta de conocimiento y herramientas. Es indispensable mejorar las asesorías y garantizar que las siembras se den en sitios adecuados. Las alternativas de solución van ligadas a vincular los sectores financieros, instituciones de investigación, alcaldías y gremios para garantizar proyectos de capacitación y financiación a productores, diseño de planes de apoyo a la inocuidad alimentaria y a garantizar procesos de cualificación y certificación de manejo operativo cualificado. </w:t>
      </w:r>
    </w:p>
    <w:p w:rsidR="008647F7" w:rsidRDefault="002251EA">
      <w:pPr>
        <w:pBdr>
          <w:top w:val="nil"/>
          <w:left w:val="nil"/>
          <w:bottom w:val="nil"/>
          <w:right w:val="nil"/>
          <w:between w:val="nil"/>
        </w:pBdr>
        <w:spacing w:before="0" w:after="0"/>
        <w:ind w:left="720"/>
        <w:rPr>
          <w:color w:val="000000"/>
        </w:rPr>
      </w:pPr>
      <w:proofErr w:type="spellStart"/>
      <w:r>
        <w:rPr>
          <w:color w:val="000000"/>
          <w:u w:val="single"/>
        </w:rPr>
        <w:t>Poscosecha</w:t>
      </w:r>
      <w:proofErr w:type="spellEnd"/>
      <w:r>
        <w:rPr>
          <w:color w:val="000000"/>
          <w:u w:val="single"/>
        </w:rPr>
        <w:t>:</w:t>
      </w:r>
      <w:r>
        <w:rPr>
          <w:color w:val="000000"/>
        </w:rPr>
        <w:t xml:space="preserve">  En este eslabón se encuentra que hay una escaza oferta tecnológica instalada para almacenamiento del producto, generando pérdidas y limitando la vida útil del producto. Ligado a esto, se tiene que hay muy pocos centros de acopio amplios que se puedan usar a través de mecanismos de asociatividad. También se evidencia un mal estado de las vías terciarias (en muchos casos primarias y secundarias), lo cual dificulta el transporte de insumos y del producto como tal. Existe un aspecto bastante importante y es el incumplimiento para entrega del producto al comprador por parte de los productores, muchas veces porque se revende a un mejor precio y hay un incumplimiento que repercute posteriormente en las finanzas del productor. Se plantean como estrategias de solución la firma de contratos y el empleo de pólizas de transporte.</w:t>
      </w:r>
    </w:p>
    <w:p w:rsidR="008647F7" w:rsidRDefault="002251EA">
      <w:pPr>
        <w:pBdr>
          <w:top w:val="nil"/>
          <w:left w:val="nil"/>
          <w:bottom w:val="nil"/>
          <w:right w:val="nil"/>
          <w:between w:val="nil"/>
        </w:pBdr>
        <w:spacing w:before="0"/>
        <w:ind w:left="720"/>
        <w:rPr>
          <w:color w:val="000000"/>
        </w:rPr>
      </w:pPr>
      <w:r>
        <w:rPr>
          <w:color w:val="000000"/>
          <w:u w:val="single"/>
        </w:rPr>
        <w:t>Mercadeo</w:t>
      </w:r>
      <w:r>
        <w:rPr>
          <w:color w:val="000000"/>
        </w:rPr>
        <w:t xml:space="preserve">: En este último eslabón, se encuentra que los costos para certificaciones y sellos son demasiado elevados. Proyectos productivos que busquen apoyar este aspecto puntual generarían </w:t>
      </w:r>
      <w:r>
        <w:rPr>
          <w:color w:val="000000"/>
        </w:rPr>
        <w:lastRenderedPageBreak/>
        <w:t>una mayor apropiación por parte de los productores y después ellos mismos podrían orientar a otras personas en el proceso. El que se cuente con algunos subsidios puntuales en el proceso también se propone como alternativa. Frente a temas de mercado, se identifica que la demanda del producto en el departamento es desconocida por parte de los productores, así como los niveles de exportación. Dicha información debe ir acompañada de procesos formativos a mediano plazo, donde se le brinde un acompañamiento al productor hasta que logre obtener cambios positivos y una incidencia en dichos mercados. Por último, es importante garantizar un valor agregado del producto, ampliando los productos que se pueden obtener a partir de la materia prima.</w:t>
      </w:r>
    </w:p>
    <w:p w:rsidR="008647F7" w:rsidRDefault="002251EA">
      <w:r>
        <w:t>CARACTERIZACIÓN DE LAS CAPACIDADES DE LAS ORGANIZACIONES DE PRODUCTORES</w:t>
      </w:r>
    </w:p>
    <w:p w:rsidR="008647F7" w:rsidRDefault="002251EA">
      <w:r>
        <w:t xml:space="preserve">Para determinar las capacidades de las organizaciones productivas del departamento, se procedió al cálculo del Índice de Capacidad Organizacional (ICO), el cual evalúa cuatro ejes: </w:t>
      </w:r>
    </w:p>
    <w:p w:rsidR="008647F7" w:rsidRDefault="002251EA">
      <w:pPr>
        <w:numPr>
          <w:ilvl w:val="0"/>
          <w:numId w:val="5"/>
        </w:numPr>
        <w:pBdr>
          <w:top w:val="nil"/>
          <w:left w:val="nil"/>
          <w:bottom w:val="nil"/>
          <w:right w:val="nil"/>
          <w:between w:val="nil"/>
        </w:pBdr>
        <w:spacing w:after="0"/>
      </w:pPr>
      <w:r>
        <w:rPr>
          <w:color w:val="000000"/>
        </w:rPr>
        <w:t>Posicionamiento social</w:t>
      </w:r>
    </w:p>
    <w:p w:rsidR="008647F7" w:rsidRDefault="002251EA">
      <w:pPr>
        <w:numPr>
          <w:ilvl w:val="0"/>
          <w:numId w:val="5"/>
        </w:numPr>
        <w:pBdr>
          <w:top w:val="nil"/>
          <w:left w:val="nil"/>
          <w:bottom w:val="nil"/>
          <w:right w:val="nil"/>
          <w:between w:val="nil"/>
        </w:pBdr>
        <w:spacing w:before="0" w:after="0"/>
      </w:pPr>
      <w:r>
        <w:rPr>
          <w:color w:val="000000"/>
        </w:rPr>
        <w:t>Capacidades técnicas</w:t>
      </w:r>
    </w:p>
    <w:p w:rsidR="008647F7" w:rsidRDefault="002251EA">
      <w:pPr>
        <w:numPr>
          <w:ilvl w:val="0"/>
          <w:numId w:val="5"/>
        </w:numPr>
        <w:pBdr>
          <w:top w:val="nil"/>
          <w:left w:val="nil"/>
          <w:bottom w:val="nil"/>
          <w:right w:val="nil"/>
          <w:between w:val="nil"/>
        </w:pBdr>
        <w:spacing w:before="0" w:after="0"/>
      </w:pPr>
      <w:r>
        <w:rPr>
          <w:color w:val="000000"/>
        </w:rPr>
        <w:t>Capacidades Estratégicas</w:t>
      </w:r>
    </w:p>
    <w:p w:rsidR="008647F7" w:rsidRDefault="002251EA">
      <w:pPr>
        <w:numPr>
          <w:ilvl w:val="0"/>
          <w:numId w:val="5"/>
        </w:numPr>
        <w:pBdr>
          <w:top w:val="nil"/>
          <w:left w:val="nil"/>
          <w:bottom w:val="nil"/>
          <w:right w:val="nil"/>
          <w:between w:val="nil"/>
        </w:pBdr>
        <w:spacing w:before="0"/>
      </w:pPr>
      <w:r>
        <w:rPr>
          <w:color w:val="000000"/>
        </w:rPr>
        <w:t>Capacidades Financieras de las Organizaciones.</w:t>
      </w:r>
    </w:p>
    <w:p w:rsidR="008647F7" w:rsidRDefault="002251EA">
      <w:r>
        <w:t>El Índice tiene una escala de 0 a 1, siendo 0 peor y 1 mejor, y permite la formulación de planes de mejora organizacional que incorporan metas cuantificables en los ejes involucrados.</w:t>
      </w:r>
    </w:p>
    <w:p w:rsidR="008647F7" w:rsidRDefault="002251EA">
      <w:r>
        <w:t>Para el caso del departamento, este ICO se ubicó en 0,62 lo que nos indica que las Organizaciones departamentales están en un 62% de su potencial. Al desagregar en los tres ejes, se puede apreciar que son las capacidades técnicas las que menor desempeño logran (ICO = 0,52), caso contrario sucede con el posicionamiento social de las organizaciones que alcanza un ICO de 0,65</w:t>
      </w:r>
    </w:p>
    <w:p w:rsidR="008647F7" w:rsidRDefault="002251EA">
      <w:pPr>
        <w:numPr>
          <w:ilvl w:val="0"/>
          <w:numId w:val="1"/>
        </w:numPr>
        <w:pBdr>
          <w:top w:val="nil"/>
          <w:left w:val="nil"/>
          <w:bottom w:val="nil"/>
          <w:right w:val="nil"/>
          <w:between w:val="nil"/>
        </w:pBdr>
        <w:spacing w:after="0"/>
      </w:pPr>
      <w:r>
        <w:rPr>
          <w:color w:val="000000"/>
        </w:rPr>
        <w:t>Posicionamiento social: Este eje busca identificar el grado de legitimidad de las organizaciones, a partir de elementos como la cobertura territorial de las organizaciones, cobertura poblacional, participación de la mujer en las asociaciones, antigüedad de las organizaciones y grado de formalización de las mismas. Los resultados muestran en principio que la mayoría de las organizaciones productivas están formalizadas, y buena parte de ellas son de segundo grado, así mismo, tienen bastantes años de trabajo en el territorio, lo cual les da madurez organizacional, y mantienen una cobertura territorial amplia, sin embargo, son pocas las personas asociadas y la participación de la mujer en estas asociaciones es baja</w:t>
      </w:r>
    </w:p>
    <w:p w:rsidR="008647F7" w:rsidRDefault="002251EA">
      <w:pPr>
        <w:numPr>
          <w:ilvl w:val="0"/>
          <w:numId w:val="1"/>
        </w:numPr>
        <w:pBdr>
          <w:top w:val="nil"/>
          <w:left w:val="nil"/>
          <w:bottom w:val="nil"/>
          <w:right w:val="nil"/>
          <w:between w:val="nil"/>
        </w:pBdr>
        <w:spacing w:before="0" w:after="0"/>
      </w:pPr>
      <w:r>
        <w:rPr>
          <w:color w:val="000000"/>
        </w:rPr>
        <w:t xml:space="preserve">Capacidades técnicas: Este eje hace referencia al conjunto de capacidades necesarias para la realización de las actividades emprendidas por la organización o para controlar las actividades cuya realización ella confía a organismos externos. Incluye el diseño, la realización y la evaluación de una actividad. Se incluyen entre otras: Capacidad instalada, Técnicas de oficina, Administración de la organización. Los resultados sugieren que las organizaciones cuentan con juntas directivas consolidadas y con los cargos necesarios para ejercer de manera adecuada sus funciones, así mismo la mayoría de organizaciones atienden los compromisos contables y tributarios de manera adecuada. Por otra parte, las organizaciones del departamento cuentan con sedes donde desarrollar sus actividades misionales, bien sean propias o bajo otra modalidad de tenencia, lo que facilita la congregación de asociados y en general el desempeño técnico de sus quehaceres diarios. Sin embargo, también se evidenció la baja escolaridad de los miembros de las Asociaciones, el poco acceso de las organizaciones a tecnologías informáticas, y una mínima interrelación </w:t>
      </w:r>
      <w:r>
        <w:rPr>
          <w:color w:val="000000"/>
        </w:rPr>
        <w:lastRenderedPageBreak/>
        <w:t>institucional con otras organizaciones o con instituciones del sector, lo que se puede apreciar en el bajo desempeño del indicador “número de convenios en los dos últimos años”.</w:t>
      </w:r>
    </w:p>
    <w:p w:rsidR="008647F7" w:rsidRDefault="002251EA">
      <w:pPr>
        <w:numPr>
          <w:ilvl w:val="0"/>
          <w:numId w:val="1"/>
        </w:numPr>
        <w:pBdr>
          <w:top w:val="nil"/>
          <w:left w:val="nil"/>
          <w:bottom w:val="nil"/>
          <w:right w:val="nil"/>
          <w:between w:val="nil"/>
        </w:pBdr>
        <w:spacing w:before="0" w:after="0"/>
      </w:pPr>
      <w:r>
        <w:rPr>
          <w:color w:val="000000"/>
        </w:rPr>
        <w:t>Capacidades Estratégicas: Se entiende como tales, las capacidades que permiten a una organización decidir sus propuestas y su plan de acción, teniendo en cuenta su entorno, las aspiraciones de sus miembros y los diversos desafíos y oportunidades que enfrenta. De tal suerte que, al fortalecer estas capacidades, las organizaciones comunitarias refuerzan su capacidad de negociación con las partes interesadas con las que habitualmente se relacionan (estado, ONG, gremios, otras OC.) En ese sentido se destacan cuatro áreas a analizar: (1) Área de desarrollo institucional, encargada de Formulación de plan estratégico de la organización ye el Plan de comunicaciones internas y externas. (2) Área de gestión externa: estrechamente vinculada al tema de “relaciones con entidades públicas y otras organizaciones de productores”, formulación y gestión de proyectos, Identificación de fuentes públicas y privadas de financiación. (3) Área de evaluación y seguimiento, encargada de monitorear tanto los procesos internos de la O.C. como del análisis territorial que le permita aportar propuestas de solución a la problemática local. (4) Área de desarrollo político: Encargada de fijar los lineamientos a seguir de acuerdo a la ideología de la organización y a la coyuntura política del momento.</w:t>
      </w:r>
    </w:p>
    <w:p w:rsidR="008647F7" w:rsidRDefault="002251EA">
      <w:pPr>
        <w:pBdr>
          <w:top w:val="nil"/>
          <w:left w:val="nil"/>
          <w:bottom w:val="nil"/>
          <w:right w:val="nil"/>
          <w:between w:val="nil"/>
        </w:pBdr>
        <w:spacing w:before="0" w:after="0"/>
        <w:ind w:left="720"/>
        <w:rPr>
          <w:color w:val="000000"/>
        </w:rPr>
      </w:pPr>
      <w:r>
        <w:rPr>
          <w:color w:val="000000"/>
        </w:rPr>
        <w:t>Los resultados obtenidos, sugieren organizaciones en expansión territorial, con un elevado grado de participación real en sus procesos, legitimidad por parte de las comunidades y existencia de órganos de control interno que puede incidir positivamente en los temas de legitimidad comunal y participación importante. Así mismo en temas de comunicación se visualiza un avance importante, así como en la articulación con otras organizaciones e instituciones del sector, lo que ayuda a la conformación de redes de organizaciones que potencian el desarrollo de las organizaciones. Contrario a las fortalezas, el ICO permite evidenciar debilidades en términos de sus sistemas de planificación lo que impide la mayoría de veces la existencia de planes estratégicos organizacionales, lo cual puede ser causada por dos factores: El primero la escasez de reuniones internas realizadas en las organizaciones, y el segundo una ausencia de cultura de la evaluación, si bien se tienen órganos que nominalmente vigilan que las cosas se hagan, la mayoría de veces no se monitorea la calidad de las acciones realizadas por la organización.</w:t>
      </w:r>
    </w:p>
    <w:p w:rsidR="008647F7" w:rsidRDefault="002251EA">
      <w:pPr>
        <w:numPr>
          <w:ilvl w:val="0"/>
          <w:numId w:val="1"/>
        </w:numPr>
        <w:pBdr>
          <w:top w:val="nil"/>
          <w:left w:val="nil"/>
          <w:bottom w:val="nil"/>
          <w:right w:val="nil"/>
          <w:between w:val="nil"/>
        </w:pBdr>
        <w:spacing w:before="0" w:after="0"/>
      </w:pPr>
      <w:r>
        <w:rPr>
          <w:color w:val="000000"/>
        </w:rPr>
        <w:t>Capacidades Financieras: Dado que no es posible el fortalecimiento de las organizaciones de productores sin una autonomía financiera que les permita administrar sus propios fondos. El fortalecimiento de los recursos financieros de las organizaciones campesinas se refiere, por lo tanto, a la capacidad de la organización para movilizar y gestionar los fondos de los miembros y los ingresos procedentes del capital o los servicios suministrados, y los fondos externos provenientes del gobierno, los donantes y el sector privado. Bajo el anterior orden de ideas, y de acuerdo al ICO calculado, encontramos que este tipo de capacidades, son las de peor desempeño después de las capacidades técnicas.</w:t>
      </w:r>
    </w:p>
    <w:p w:rsidR="008647F7" w:rsidRDefault="002251EA">
      <w:pPr>
        <w:pBdr>
          <w:top w:val="nil"/>
          <w:left w:val="nil"/>
          <w:bottom w:val="nil"/>
          <w:right w:val="nil"/>
          <w:between w:val="nil"/>
        </w:pBdr>
        <w:spacing w:before="0" w:after="0"/>
        <w:ind w:left="720"/>
        <w:rPr>
          <w:color w:val="000000"/>
        </w:rPr>
      </w:pPr>
      <w:r>
        <w:rPr>
          <w:color w:val="000000"/>
        </w:rPr>
        <w:t>Se destaca la dificultad de las organizaciones para identificar fuentes externas de financiamiento y la adquisición de activos que les permita desarrollar sus actividades, como las principales.</w:t>
      </w:r>
    </w:p>
    <w:p w:rsidR="008647F7" w:rsidRDefault="002251EA">
      <w:pPr>
        <w:pBdr>
          <w:top w:val="nil"/>
          <w:left w:val="nil"/>
          <w:bottom w:val="nil"/>
          <w:right w:val="nil"/>
          <w:between w:val="nil"/>
        </w:pBdr>
        <w:spacing w:before="0" w:after="0"/>
        <w:ind w:left="720"/>
        <w:rPr>
          <w:color w:val="000000"/>
        </w:rPr>
      </w:pPr>
      <w:r>
        <w:rPr>
          <w:color w:val="000000"/>
        </w:rPr>
        <w:t>A nivel general, se puede indicar que las organizaciones de productores del departamento, son organizaciones con cobertura territorial adecuada y legitimidad social amplia, que sabe hacia dónde quiere apuntar su trabajo gracias a que sus capacidades estratégicas son los más fuertes</w:t>
      </w:r>
    </w:p>
    <w:p w:rsidR="008647F7" w:rsidRDefault="002251EA">
      <w:pPr>
        <w:pBdr>
          <w:top w:val="nil"/>
          <w:left w:val="nil"/>
          <w:bottom w:val="nil"/>
          <w:right w:val="nil"/>
          <w:between w:val="nil"/>
        </w:pBdr>
        <w:spacing w:before="0" w:after="0"/>
        <w:ind w:left="720"/>
        <w:rPr>
          <w:color w:val="000000"/>
        </w:rPr>
      </w:pPr>
      <w:r>
        <w:rPr>
          <w:color w:val="000000"/>
        </w:rPr>
        <w:t>según el ICO.</w:t>
      </w:r>
    </w:p>
    <w:p w:rsidR="008647F7" w:rsidRDefault="002251EA">
      <w:pPr>
        <w:pBdr>
          <w:top w:val="nil"/>
          <w:left w:val="nil"/>
          <w:bottom w:val="nil"/>
          <w:right w:val="nil"/>
          <w:between w:val="nil"/>
        </w:pBdr>
        <w:spacing w:before="0" w:after="0"/>
        <w:ind w:left="720"/>
        <w:rPr>
          <w:color w:val="000000"/>
        </w:rPr>
      </w:pPr>
      <w:r>
        <w:rPr>
          <w:color w:val="000000"/>
        </w:rPr>
        <w:t xml:space="preserve">Sin embargo y paralelo a esas fortalezas, también se destacan las capacidades técnicas y financieras como los talones de Aquiles de las organizaciones, retos que el PDEA deberá asumir </w:t>
      </w:r>
      <w:r>
        <w:rPr>
          <w:color w:val="000000"/>
        </w:rPr>
        <w:lastRenderedPageBreak/>
        <w:t>para lograr un fortalecimiento de capacidades organizacionales integral, que les permita a estas generar propuestas no solo de extensión agropecuaria, sino en general de gestión de su territorio</w:t>
      </w:r>
    </w:p>
    <w:p w:rsidR="008647F7" w:rsidRDefault="002251EA">
      <w:pPr>
        <w:pBdr>
          <w:top w:val="nil"/>
          <w:left w:val="nil"/>
          <w:bottom w:val="nil"/>
          <w:right w:val="nil"/>
          <w:between w:val="nil"/>
        </w:pBdr>
        <w:spacing w:before="0"/>
        <w:ind w:left="720"/>
        <w:jc w:val="left"/>
        <w:rPr>
          <w:color w:val="000000"/>
        </w:rPr>
      </w:pPr>
      <w:r>
        <w:rPr>
          <w:color w:val="000000"/>
        </w:rPr>
        <w:t>y negociarlas en los espacios inter institucionales dispuestos para ello</w:t>
      </w:r>
    </w:p>
    <w:p w:rsidR="008647F7" w:rsidRDefault="002251EA">
      <w:pPr>
        <w:spacing w:before="0" w:after="160" w:line="259" w:lineRule="auto"/>
        <w:jc w:val="left"/>
        <w:rPr>
          <w:rFonts w:ascii="Overlock" w:eastAsia="Overlock" w:hAnsi="Overlock" w:cs="Overlock"/>
          <w:sz w:val="24"/>
          <w:szCs w:val="24"/>
        </w:rPr>
      </w:pPr>
      <w:r>
        <w:br w:type="page"/>
      </w:r>
    </w:p>
    <w:p w:rsidR="008647F7" w:rsidRDefault="002251EA">
      <w:pPr>
        <w:numPr>
          <w:ilvl w:val="0"/>
          <w:numId w:val="3"/>
        </w:numPr>
        <w:rPr>
          <w:rFonts w:ascii="Overlock" w:eastAsia="Overlock" w:hAnsi="Overlock" w:cs="Overlock"/>
          <w:sz w:val="24"/>
          <w:szCs w:val="24"/>
        </w:rPr>
      </w:pPr>
      <w:r>
        <w:rPr>
          <w:rFonts w:ascii="Overlock" w:eastAsia="Overlock" w:hAnsi="Overlock" w:cs="Overlock"/>
          <w:sz w:val="24"/>
          <w:szCs w:val="24"/>
        </w:rPr>
        <w:lastRenderedPageBreak/>
        <w:t>Soporte de conocimiento- programas académicos, grupos de investigación en el sector o de pertinencia con el sector del NODO</w:t>
      </w:r>
    </w:p>
    <w:p w:rsidR="008647F7" w:rsidRDefault="002251EA">
      <w:pPr>
        <w:spacing w:before="0" w:after="160" w:line="259" w:lineRule="auto"/>
        <w:jc w:val="left"/>
        <w:rPr>
          <w:rFonts w:ascii="Overlock" w:eastAsia="Overlock" w:hAnsi="Overlock" w:cs="Overlock"/>
          <w:b/>
          <w:sz w:val="24"/>
          <w:szCs w:val="24"/>
        </w:rPr>
      </w:pPr>
      <w:r>
        <w:rPr>
          <w:rFonts w:ascii="Overlock" w:eastAsia="Overlock" w:hAnsi="Overlock" w:cs="Overlock"/>
          <w:b/>
          <w:sz w:val="24"/>
          <w:szCs w:val="24"/>
        </w:rPr>
        <w:t>Programas académicos</w:t>
      </w:r>
    </w:p>
    <w:tbl>
      <w:tblPr>
        <w:tblStyle w:val="a5"/>
        <w:tblW w:w="10537" w:type="dxa"/>
        <w:jc w:val="center"/>
        <w:tblInd w:w="0" w:type="dxa"/>
        <w:tblLayout w:type="fixed"/>
        <w:tblLook w:val="0400" w:firstRow="0" w:lastRow="0" w:firstColumn="0" w:lastColumn="0" w:noHBand="0" w:noVBand="1"/>
      </w:tblPr>
      <w:tblGrid>
        <w:gridCol w:w="3121"/>
        <w:gridCol w:w="3346"/>
        <w:gridCol w:w="4070"/>
      </w:tblGrid>
      <w:tr w:rsidR="008647F7">
        <w:trPr>
          <w:trHeight w:val="402"/>
          <w:jc w:val="center"/>
        </w:trPr>
        <w:tc>
          <w:tcPr>
            <w:tcW w:w="3121"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8647F7" w:rsidRDefault="002251EA">
            <w:pPr>
              <w:spacing w:before="0" w:after="0"/>
              <w:jc w:val="center"/>
              <w:rPr>
                <w:rFonts w:ascii="Arial" w:eastAsia="Arial" w:hAnsi="Arial" w:cs="Arial"/>
                <w:b/>
                <w:color w:val="000000"/>
                <w:sz w:val="18"/>
                <w:szCs w:val="18"/>
              </w:rPr>
            </w:pPr>
            <w:r>
              <w:rPr>
                <w:rFonts w:ascii="Arial" w:eastAsia="Arial" w:hAnsi="Arial" w:cs="Arial"/>
                <w:b/>
                <w:color w:val="000000"/>
                <w:sz w:val="18"/>
                <w:szCs w:val="18"/>
              </w:rPr>
              <w:t>Nivel de formación</w:t>
            </w:r>
          </w:p>
        </w:tc>
        <w:tc>
          <w:tcPr>
            <w:tcW w:w="3346"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before="0" w:after="0"/>
              <w:jc w:val="center"/>
              <w:rPr>
                <w:rFonts w:ascii="Arial" w:eastAsia="Arial" w:hAnsi="Arial" w:cs="Arial"/>
                <w:b/>
                <w:color w:val="000000"/>
                <w:sz w:val="18"/>
                <w:szCs w:val="18"/>
              </w:rPr>
            </w:pPr>
            <w:r>
              <w:rPr>
                <w:rFonts w:ascii="Arial" w:eastAsia="Arial" w:hAnsi="Arial" w:cs="Arial"/>
                <w:b/>
                <w:color w:val="000000"/>
                <w:sz w:val="18"/>
                <w:szCs w:val="18"/>
              </w:rPr>
              <w:t>Institución de oferta</w:t>
            </w:r>
          </w:p>
        </w:tc>
        <w:tc>
          <w:tcPr>
            <w:tcW w:w="4070"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before="0" w:after="0"/>
              <w:jc w:val="center"/>
              <w:rPr>
                <w:rFonts w:ascii="Arial" w:eastAsia="Arial" w:hAnsi="Arial" w:cs="Arial"/>
                <w:b/>
                <w:color w:val="000000"/>
                <w:sz w:val="18"/>
                <w:szCs w:val="18"/>
              </w:rPr>
            </w:pPr>
            <w:r>
              <w:rPr>
                <w:rFonts w:ascii="Arial" w:eastAsia="Arial" w:hAnsi="Arial" w:cs="Arial"/>
                <w:b/>
                <w:color w:val="000000"/>
                <w:sz w:val="18"/>
                <w:szCs w:val="18"/>
              </w:rPr>
              <w:t>Nombre del programa</w:t>
            </w:r>
          </w:p>
        </w:tc>
      </w:tr>
      <w:tr w:rsidR="008647F7">
        <w:trPr>
          <w:trHeight w:val="402"/>
          <w:jc w:val="center"/>
        </w:trPr>
        <w:tc>
          <w:tcPr>
            <w:tcW w:w="3121" w:type="dxa"/>
            <w:tcBorders>
              <w:top w:val="nil"/>
              <w:left w:val="single" w:sz="8" w:space="0" w:color="000000"/>
              <w:bottom w:val="single" w:sz="4" w:space="0" w:color="000000"/>
              <w:right w:val="single" w:sz="8" w:space="0" w:color="000000"/>
            </w:tcBorders>
            <w:shd w:val="clear" w:color="auto" w:fill="FFFFFF"/>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 Pregrado</w:t>
            </w:r>
          </w:p>
        </w:tc>
        <w:tc>
          <w:tcPr>
            <w:tcW w:w="3346" w:type="dxa"/>
            <w:tcBorders>
              <w:top w:val="nil"/>
              <w:left w:val="nil"/>
              <w:bottom w:val="single" w:sz="4"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 INSTITUCIÓN UNIVERSITARIA VISIÓN DE LAS AMÉRICAS</w:t>
            </w:r>
          </w:p>
        </w:tc>
        <w:tc>
          <w:tcPr>
            <w:tcW w:w="4070" w:type="dxa"/>
            <w:tcBorders>
              <w:top w:val="nil"/>
              <w:left w:val="nil"/>
              <w:bottom w:val="single" w:sz="4"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 MEDICINA VETERINARIA Y ZOOTECNIA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 SENA</w:t>
            </w:r>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 TECNOLOGÍA EN PRODUCCIÓN AGROPECUARIA ECOLÓGICA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SENA</w:t>
            </w:r>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ESPECIALIZACIÓN TECNOLÓGICA EN GESTIÓN DE LA PRODUCCIÓN PECUARIA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SENA</w:t>
            </w:r>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ESPECIALIZACIÓN TECNOLÓGICA EN INOCUIDAD E HIGIENE ALIMENTARIA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SENA</w:t>
            </w:r>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TECNOLOGIA EN PRODUCCION GANADERA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SENA</w:t>
            </w:r>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TECNOLOGÍA EN CONTROL DE CALIDAD EN LA INDUSTRIA DE ALIMENTO</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SENA</w:t>
            </w:r>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ECNOLOGÍA EN GESTIÓN DE EMPRESAS PECUARIAS</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r>
              <w:t xml:space="preserve"> SENA</w:t>
            </w:r>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TECNOLOGIA EN GESTION DE EMPRESAS AGROPECUARIAS</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Posgrado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UTP</w:t>
            </w:r>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MAESTRÍA EN DESARROLLO AGROINDUSTRIAL</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UTP</w:t>
            </w:r>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MEDICINA VETERINARIA Y ZOOTECNIA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Posgrado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ESPECIALIZACION EN AGROECOLOGIA TROPICAL ANDINA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MEDICINA VETERINARIA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Posgrado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ESPECIALIZACION EN CONTROL BIOLOGICO</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TECNOLOGIA EN PRODUCCION AGRICOLA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INGENIERÍA AGRONÓMICA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PROFESIONAL EN AGROINDUSTRIA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ZOOTECNIA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TECNOLOGIA EN PRODUCCION ANIMAL</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TECNOLOGIA EN AGROINDUSTRIA</w:t>
            </w:r>
          </w:p>
        </w:tc>
      </w:tr>
      <w:tr w:rsidR="008647F7">
        <w:trPr>
          <w:trHeight w:val="402"/>
          <w:jc w:val="center"/>
        </w:trPr>
        <w:tc>
          <w:tcPr>
            <w:tcW w:w="31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Pregrado</w:t>
            </w:r>
          </w:p>
        </w:tc>
        <w:tc>
          <w:tcPr>
            <w:tcW w:w="33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proofErr w:type="spellStart"/>
            <w:r>
              <w:rPr>
                <w:rFonts w:ascii="Arial" w:eastAsia="Arial" w:hAnsi="Arial" w:cs="Arial"/>
                <w:color w:val="000000"/>
                <w:sz w:val="18"/>
                <w:szCs w:val="18"/>
              </w:rPr>
              <w:t>Unisarc</w:t>
            </w:r>
            <w:proofErr w:type="spellEnd"/>
          </w:p>
        </w:tc>
        <w:tc>
          <w:tcPr>
            <w:tcW w:w="4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sz w:val="18"/>
                <w:szCs w:val="18"/>
              </w:rPr>
            </w:pPr>
            <w:r>
              <w:rPr>
                <w:rFonts w:ascii="Arial" w:eastAsia="Arial" w:hAnsi="Arial" w:cs="Arial"/>
                <w:color w:val="000000"/>
                <w:sz w:val="18"/>
                <w:szCs w:val="18"/>
              </w:rPr>
              <w:t>ADMINISTRACION DE EMPRESAS AGROPECUARIAS</w:t>
            </w:r>
          </w:p>
        </w:tc>
      </w:tr>
    </w:tbl>
    <w:p w:rsidR="008647F7" w:rsidRDefault="008647F7">
      <w:pPr>
        <w:jc w:val="center"/>
        <w:rPr>
          <w:rFonts w:ascii="Overlock" w:eastAsia="Overlock" w:hAnsi="Overlock" w:cs="Overlock"/>
          <w:sz w:val="24"/>
          <w:szCs w:val="24"/>
        </w:rPr>
      </w:pPr>
    </w:p>
    <w:p w:rsidR="008647F7" w:rsidRDefault="002251EA">
      <w:pPr>
        <w:rPr>
          <w:rFonts w:ascii="Overlock" w:eastAsia="Overlock" w:hAnsi="Overlock" w:cs="Overlock"/>
          <w:b/>
          <w:sz w:val="24"/>
          <w:szCs w:val="24"/>
        </w:rPr>
      </w:pPr>
      <w:r>
        <w:rPr>
          <w:rFonts w:ascii="Overlock" w:eastAsia="Overlock" w:hAnsi="Overlock" w:cs="Overlock"/>
          <w:b/>
          <w:sz w:val="24"/>
          <w:szCs w:val="24"/>
        </w:rPr>
        <w:t xml:space="preserve">         Grupos de investigación</w:t>
      </w:r>
    </w:p>
    <w:tbl>
      <w:tblPr>
        <w:tblStyle w:val="a6"/>
        <w:tblW w:w="8921" w:type="dxa"/>
        <w:tblInd w:w="0" w:type="dxa"/>
        <w:tblLayout w:type="fixed"/>
        <w:tblLook w:val="0400" w:firstRow="0" w:lastRow="0" w:firstColumn="0" w:lastColumn="0" w:noHBand="0" w:noVBand="1"/>
      </w:tblPr>
      <w:tblGrid>
        <w:gridCol w:w="2835"/>
        <w:gridCol w:w="2117"/>
        <w:gridCol w:w="3969"/>
      </w:tblGrid>
      <w:tr w:rsidR="008647F7">
        <w:trPr>
          <w:trHeight w:val="473"/>
        </w:trPr>
        <w:tc>
          <w:tcPr>
            <w:tcW w:w="2835"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8647F7" w:rsidRDefault="002251EA">
            <w:pPr>
              <w:spacing w:before="0" w:after="0"/>
              <w:jc w:val="center"/>
              <w:rPr>
                <w:rFonts w:ascii="Arial" w:eastAsia="Arial" w:hAnsi="Arial" w:cs="Arial"/>
                <w:b/>
                <w:color w:val="000000"/>
              </w:rPr>
            </w:pPr>
            <w:r>
              <w:rPr>
                <w:rFonts w:ascii="Arial" w:eastAsia="Arial" w:hAnsi="Arial" w:cs="Arial"/>
                <w:b/>
                <w:color w:val="000000"/>
              </w:rPr>
              <w:t>Grupo de investigación</w:t>
            </w:r>
          </w:p>
        </w:tc>
        <w:tc>
          <w:tcPr>
            <w:tcW w:w="2117"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before="0" w:after="0"/>
              <w:jc w:val="center"/>
              <w:rPr>
                <w:rFonts w:ascii="Arial" w:eastAsia="Arial" w:hAnsi="Arial" w:cs="Arial"/>
                <w:b/>
                <w:color w:val="000000"/>
              </w:rPr>
            </w:pPr>
            <w:r>
              <w:rPr>
                <w:rFonts w:ascii="Arial" w:eastAsia="Arial" w:hAnsi="Arial" w:cs="Arial"/>
                <w:b/>
                <w:color w:val="000000"/>
              </w:rPr>
              <w:t>Entidad</w:t>
            </w:r>
          </w:p>
        </w:tc>
        <w:tc>
          <w:tcPr>
            <w:tcW w:w="3969"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before="0" w:after="0"/>
              <w:jc w:val="center"/>
              <w:rPr>
                <w:rFonts w:ascii="Arial" w:eastAsia="Arial" w:hAnsi="Arial" w:cs="Arial"/>
                <w:b/>
                <w:color w:val="000000"/>
              </w:rPr>
            </w:pPr>
            <w:r>
              <w:rPr>
                <w:rFonts w:ascii="Arial" w:eastAsia="Arial" w:hAnsi="Arial" w:cs="Arial"/>
                <w:b/>
                <w:color w:val="000000"/>
              </w:rPr>
              <w:t>Pertinencia con el sector y/o el nodo</w:t>
            </w:r>
          </w:p>
        </w:tc>
      </w:tr>
      <w:tr w:rsidR="008647F7">
        <w:trPr>
          <w:trHeight w:val="272"/>
        </w:trPr>
        <w:tc>
          <w:tcPr>
            <w:tcW w:w="2835"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lastRenderedPageBreak/>
              <w:t> Gestión en Agroecosistemas Tropicales Andinos</w:t>
            </w:r>
          </w:p>
        </w:tc>
        <w:tc>
          <w:tcPr>
            <w:tcW w:w="2117" w:type="dxa"/>
            <w:tcBorders>
              <w:top w:val="nil"/>
              <w:left w:val="nil"/>
              <w:bottom w:val="single" w:sz="8"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UTP</w:t>
            </w:r>
          </w:p>
        </w:tc>
        <w:tc>
          <w:tcPr>
            <w:tcW w:w="3969" w:type="dxa"/>
            <w:tcBorders>
              <w:top w:val="nil"/>
              <w:left w:val="nil"/>
              <w:bottom w:val="single" w:sz="8"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Ciencias Agrícolas -- Agricultura, Silvicultura y Pesca -- Forestal</w:t>
            </w:r>
          </w:p>
        </w:tc>
      </w:tr>
      <w:tr w:rsidR="008647F7">
        <w:trPr>
          <w:trHeight w:val="272"/>
        </w:trPr>
        <w:tc>
          <w:tcPr>
            <w:tcW w:w="2835"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BIODIVERSIDAD Y BIOTECNOLOGÍA</w:t>
            </w:r>
          </w:p>
        </w:tc>
        <w:tc>
          <w:tcPr>
            <w:tcW w:w="2117" w:type="dxa"/>
            <w:tcBorders>
              <w:top w:val="nil"/>
              <w:left w:val="nil"/>
              <w:bottom w:val="single" w:sz="8"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UTP</w:t>
            </w:r>
          </w:p>
        </w:tc>
        <w:tc>
          <w:tcPr>
            <w:tcW w:w="3969" w:type="dxa"/>
            <w:tcBorders>
              <w:top w:val="nil"/>
              <w:left w:val="nil"/>
              <w:bottom w:val="single" w:sz="8"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w:t>
            </w:r>
            <w:r>
              <w:rPr>
                <w:rFonts w:ascii="Arial" w:eastAsia="Arial" w:hAnsi="Arial" w:cs="Arial"/>
                <w:color w:val="666666"/>
                <w:shd w:val="clear" w:color="auto" w:fill="F5F5F5"/>
              </w:rPr>
              <w:t>Ciencias Agrícolas -- Otras Ciencias Agrícolas -- Otras Ciencias Agrícolas</w:t>
            </w:r>
          </w:p>
        </w:tc>
      </w:tr>
      <w:tr w:rsidR="008647F7">
        <w:trPr>
          <w:trHeight w:val="272"/>
        </w:trPr>
        <w:tc>
          <w:tcPr>
            <w:tcW w:w="2835"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Grupo de Investigación en Estudios Rurales contextualizados al Territorio</w:t>
            </w:r>
          </w:p>
        </w:tc>
        <w:tc>
          <w:tcPr>
            <w:tcW w:w="2117" w:type="dxa"/>
            <w:tcBorders>
              <w:top w:val="nil"/>
              <w:left w:val="nil"/>
              <w:bottom w:val="single" w:sz="8"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UNISARC</w:t>
            </w:r>
          </w:p>
        </w:tc>
        <w:tc>
          <w:tcPr>
            <w:tcW w:w="3969" w:type="dxa"/>
            <w:tcBorders>
              <w:top w:val="nil"/>
              <w:left w:val="nil"/>
              <w:bottom w:val="single" w:sz="8"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xml:space="preserve"> Ciencias Sociales -- Sociología -- </w:t>
            </w:r>
            <w:proofErr w:type="spellStart"/>
            <w:r>
              <w:rPr>
                <w:rFonts w:ascii="Arial" w:eastAsia="Arial" w:hAnsi="Arial" w:cs="Arial"/>
                <w:color w:val="000000"/>
              </w:rPr>
              <w:t>Sociología</w:t>
            </w:r>
            <w:proofErr w:type="spellEnd"/>
            <w:r>
              <w:rPr>
                <w:rFonts w:ascii="Arial" w:eastAsia="Arial" w:hAnsi="Arial" w:cs="Arial"/>
                <w:color w:val="000000"/>
              </w:rPr>
              <w:t xml:space="preserve"> Rural</w:t>
            </w:r>
          </w:p>
        </w:tc>
      </w:tr>
      <w:tr w:rsidR="008647F7">
        <w:trPr>
          <w:trHeight w:val="272"/>
        </w:trPr>
        <w:tc>
          <w:tcPr>
            <w:tcW w:w="2835" w:type="dxa"/>
            <w:tcBorders>
              <w:top w:val="nil"/>
              <w:left w:val="single" w:sz="8" w:space="0" w:color="000000"/>
              <w:bottom w:val="single" w:sz="4"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w:t>
            </w:r>
            <w:r>
              <w:rPr>
                <w:rFonts w:ascii="Arial" w:eastAsia="Arial" w:hAnsi="Arial" w:cs="Arial"/>
                <w:highlight w:val="white"/>
              </w:rPr>
              <w:t>Grupo de Investigación en Nutrición y Alimentación Animal</w:t>
            </w:r>
          </w:p>
        </w:tc>
        <w:tc>
          <w:tcPr>
            <w:tcW w:w="2117" w:type="dxa"/>
            <w:tcBorders>
              <w:top w:val="nil"/>
              <w:left w:val="nil"/>
              <w:bottom w:val="single" w:sz="4" w:space="0" w:color="000000"/>
              <w:right w:val="single" w:sz="8" w:space="0" w:color="000000"/>
            </w:tcBorders>
            <w:shd w:val="clear" w:color="auto" w:fill="auto"/>
          </w:tcPr>
          <w:p w:rsidR="008647F7" w:rsidRDefault="002251EA">
            <w:pPr>
              <w:spacing w:before="0" w:after="0"/>
              <w:rPr>
                <w:rFonts w:ascii="Arial" w:eastAsia="Arial" w:hAnsi="Arial" w:cs="Arial"/>
                <w:color w:val="000000"/>
              </w:rPr>
            </w:pPr>
            <w:r>
              <w:rPr>
                <w:rFonts w:ascii="Arial" w:eastAsia="Arial" w:hAnsi="Arial" w:cs="Arial"/>
              </w:rPr>
              <w:t>UNISARC</w:t>
            </w:r>
          </w:p>
        </w:tc>
        <w:tc>
          <w:tcPr>
            <w:tcW w:w="3969" w:type="dxa"/>
            <w:tcBorders>
              <w:top w:val="nil"/>
              <w:left w:val="nil"/>
              <w:bottom w:val="single" w:sz="4" w:space="0" w:color="000000"/>
              <w:right w:val="single" w:sz="8"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xml:space="preserve"> Ciencias Agrícolas -- Ciencias Animales y Lechería -- Ciencias Animales y </w:t>
            </w:r>
            <w:proofErr w:type="spellStart"/>
            <w:r>
              <w:rPr>
                <w:rFonts w:ascii="Arial" w:eastAsia="Arial" w:hAnsi="Arial" w:cs="Arial"/>
                <w:color w:val="000000"/>
              </w:rPr>
              <w:t>Lecherí</w:t>
            </w:r>
            <w:proofErr w:type="spellEnd"/>
          </w:p>
        </w:tc>
      </w:tr>
      <w:tr w:rsidR="008647F7">
        <w:trPr>
          <w:trHeight w:val="272"/>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Ciencias Administrativas y Desarrollo Rural CIADRU</w:t>
            </w:r>
          </w:p>
        </w:tc>
        <w:tc>
          <w:tcPr>
            <w:tcW w:w="2117" w:type="dxa"/>
            <w:tcBorders>
              <w:top w:val="single" w:sz="4" w:space="0" w:color="000000"/>
              <w:left w:val="single" w:sz="4" w:space="0" w:color="000000"/>
              <w:bottom w:val="single" w:sz="4" w:space="0" w:color="000000"/>
              <w:right w:val="single" w:sz="4" w:space="0" w:color="000000"/>
            </w:tcBorders>
            <w:shd w:val="clear" w:color="auto" w:fill="auto"/>
          </w:tcPr>
          <w:p w:rsidR="008647F7" w:rsidRDefault="002251EA">
            <w:pPr>
              <w:spacing w:before="0" w:after="0"/>
              <w:rPr>
                <w:rFonts w:ascii="Arial" w:eastAsia="Arial" w:hAnsi="Arial" w:cs="Arial"/>
                <w:color w:val="000000"/>
              </w:rPr>
            </w:pPr>
            <w:r>
              <w:rPr>
                <w:rFonts w:ascii="Arial" w:eastAsia="Arial" w:hAnsi="Arial" w:cs="Arial"/>
              </w:rPr>
              <w:t>UNISARC</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 xml:space="preserve">Ciencias Sociales -- Economía y Negocios -- </w:t>
            </w:r>
            <w:proofErr w:type="spellStart"/>
            <w:r>
              <w:rPr>
                <w:rFonts w:ascii="Arial" w:eastAsia="Arial" w:hAnsi="Arial" w:cs="Arial"/>
                <w:color w:val="000000"/>
              </w:rPr>
              <w:t>Negocios</w:t>
            </w:r>
            <w:proofErr w:type="spellEnd"/>
            <w:r>
              <w:rPr>
                <w:rFonts w:ascii="Arial" w:eastAsia="Arial" w:hAnsi="Arial" w:cs="Arial"/>
                <w:color w:val="000000"/>
              </w:rPr>
              <w:t xml:space="preserve"> y Management</w:t>
            </w:r>
          </w:p>
        </w:tc>
      </w:tr>
      <w:tr w:rsidR="008647F7">
        <w:trPr>
          <w:trHeight w:val="272"/>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Sistemas Sostenibles de Producción Agrícola</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UNISARC</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Ciencias Agrícolas -- Agricultura, Silvicultura y Pesca -- Agronomía</w:t>
            </w:r>
          </w:p>
        </w:tc>
      </w:tr>
      <w:tr w:rsidR="008647F7">
        <w:trPr>
          <w:trHeight w:val="272"/>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rPr>
            </w:pPr>
            <w:r>
              <w:rPr>
                <w:rFonts w:ascii="Arial" w:eastAsia="Arial" w:hAnsi="Arial" w:cs="Arial"/>
              </w:rPr>
              <w:t>Grupo de investigación en Ciencias Agropecuarias ICATURS</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SENA</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Ciencias Naturales -- Otras Ciencias Naturales -- Otras Ciencias Naturales</w:t>
            </w:r>
          </w:p>
        </w:tc>
      </w:tr>
      <w:tr w:rsidR="008647F7">
        <w:trPr>
          <w:trHeight w:val="272"/>
        </w:trPr>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647F7" w:rsidRDefault="002251EA">
            <w:pPr>
              <w:spacing w:before="0" w:after="0"/>
              <w:rPr>
                <w:rFonts w:ascii="Arial" w:eastAsia="Arial" w:hAnsi="Arial" w:cs="Arial"/>
              </w:rPr>
            </w:pPr>
            <w:r>
              <w:rPr>
                <w:rFonts w:ascii="Arial" w:eastAsia="Arial" w:hAnsi="Arial" w:cs="Arial"/>
              </w:rPr>
              <w:t>Grupo de Investigación en Desarrollo Agroindustrial</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UTP</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Ingeniería y Tecnología -- Otras Ingenierías y Tecnologías -- Alimentos y Bebidas</w:t>
            </w:r>
          </w:p>
        </w:tc>
      </w:tr>
      <w:tr w:rsidR="008647F7">
        <w:trPr>
          <w:trHeight w:val="272"/>
        </w:trPr>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647F7" w:rsidRDefault="002251EA">
            <w:pPr>
              <w:spacing w:before="0" w:after="0"/>
              <w:rPr>
                <w:rFonts w:ascii="Arial" w:eastAsia="Arial" w:hAnsi="Arial" w:cs="Arial"/>
              </w:rPr>
            </w:pPr>
            <w:r>
              <w:rPr>
                <w:rFonts w:ascii="Arial" w:eastAsia="Arial" w:hAnsi="Arial" w:cs="Arial"/>
              </w:rPr>
              <w:t>Producción más Limpia</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UTP</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before="0" w:after="0"/>
              <w:rPr>
                <w:rFonts w:ascii="Arial" w:eastAsia="Arial" w:hAnsi="Arial" w:cs="Arial"/>
                <w:color w:val="000000"/>
              </w:rPr>
            </w:pPr>
            <w:r>
              <w:rPr>
                <w:rFonts w:ascii="Arial" w:eastAsia="Arial" w:hAnsi="Arial" w:cs="Arial"/>
                <w:color w:val="000000"/>
              </w:rPr>
              <w:t>Ciencias Naturales -- Ciencias de la Tierra y Medioambientales -- Ciencias del Medio Ambiente</w:t>
            </w:r>
          </w:p>
        </w:tc>
      </w:tr>
    </w:tbl>
    <w:p w:rsidR="008647F7" w:rsidRDefault="008647F7">
      <w:pPr>
        <w:rPr>
          <w:rFonts w:ascii="Overlock" w:eastAsia="Overlock" w:hAnsi="Overlock" w:cs="Overlock"/>
          <w:sz w:val="24"/>
          <w:szCs w:val="24"/>
        </w:rPr>
      </w:pPr>
    </w:p>
    <w:p w:rsidR="008647F7" w:rsidRDefault="002251EA">
      <w:pPr>
        <w:numPr>
          <w:ilvl w:val="0"/>
          <w:numId w:val="3"/>
        </w:numPr>
        <w:rPr>
          <w:rFonts w:ascii="Overlock" w:eastAsia="Overlock" w:hAnsi="Overlock" w:cs="Overlock"/>
          <w:b/>
          <w:sz w:val="24"/>
          <w:szCs w:val="24"/>
        </w:rPr>
      </w:pPr>
      <w:r>
        <w:rPr>
          <w:rFonts w:ascii="Overlock" w:eastAsia="Overlock" w:hAnsi="Overlock" w:cs="Overlock"/>
          <w:b/>
          <w:sz w:val="24"/>
          <w:szCs w:val="24"/>
        </w:rPr>
        <w:t>Institucionalidad</w:t>
      </w:r>
    </w:p>
    <w:p w:rsidR="008647F7" w:rsidRDefault="002251EA">
      <w:pPr>
        <w:rPr>
          <w:rFonts w:ascii="Overlock" w:eastAsia="Overlock" w:hAnsi="Overlock" w:cs="Overlock"/>
          <w:sz w:val="24"/>
          <w:szCs w:val="24"/>
        </w:rPr>
      </w:pPr>
      <w:r>
        <w:rPr>
          <w:rFonts w:ascii="Overlock" w:eastAsia="Overlock" w:hAnsi="Overlock" w:cs="Overlock"/>
          <w:sz w:val="24"/>
          <w:szCs w:val="24"/>
        </w:rPr>
        <w:t>Asamblea de integrantes:  todos los firmantes del acuerdo de voluntades</w:t>
      </w:r>
    </w:p>
    <w:p w:rsidR="008647F7" w:rsidRDefault="002251EA">
      <w:pPr>
        <w:rPr>
          <w:rFonts w:ascii="Overlock" w:eastAsia="Overlock" w:hAnsi="Overlock" w:cs="Overlock"/>
          <w:sz w:val="24"/>
          <w:szCs w:val="24"/>
        </w:rPr>
      </w:pPr>
      <w:r>
        <w:rPr>
          <w:rFonts w:ascii="Overlock" w:eastAsia="Overlock" w:hAnsi="Overlock" w:cs="Overlock"/>
          <w:sz w:val="24"/>
          <w:szCs w:val="24"/>
        </w:rPr>
        <w:t>Gerencia Colegiada: Líder y Representante Legal (UNISARC), 1 Representante del Sector Agropecuario (ASOPROPLAC), 1 Representante del sector agroindustrial (CDTA), 1 representante de la academia (UNAD) y 1 representante del Gobierno (Secretaría Desarrollo Agropecuario de Risaralda) y otras entidades (SENA).</w:t>
      </w:r>
    </w:p>
    <w:p w:rsidR="008647F7" w:rsidRDefault="002251EA">
      <w:pPr>
        <w:rPr>
          <w:rFonts w:ascii="Overlock" w:eastAsia="Overlock" w:hAnsi="Overlock" w:cs="Overlock"/>
          <w:sz w:val="24"/>
          <w:szCs w:val="24"/>
        </w:rPr>
      </w:pPr>
      <w:r>
        <w:rPr>
          <w:rFonts w:ascii="Overlock" w:eastAsia="Overlock" w:hAnsi="Overlock" w:cs="Overlock"/>
          <w:sz w:val="24"/>
          <w:szCs w:val="24"/>
        </w:rPr>
        <w:t>Comités técnicos:  integrados por la triada Universidad–Empresa–Estado por proyectos formulados o por programas de proyectos encadenados</w:t>
      </w:r>
    </w:p>
    <w:p w:rsidR="008647F7" w:rsidRDefault="002251EA">
      <w:pPr>
        <w:rPr>
          <w:rFonts w:ascii="Overlock" w:eastAsia="Overlock" w:hAnsi="Overlock" w:cs="Overlock"/>
          <w:sz w:val="24"/>
          <w:szCs w:val="24"/>
        </w:rPr>
      </w:pPr>
      <w:r>
        <w:rPr>
          <w:rFonts w:ascii="Overlock" w:eastAsia="Overlock" w:hAnsi="Overlock" w:cs="Overlock"/>
          <w:sz w:val="24"/>
          <w:szCs w:val="24"/>
        </w:rPr>
        <w:t>Comités de Seguimiento y Control: triada Universidad-empresa-Estado. Instituciones elegidas por la Asamblea</w:t>
      </w:r>
    </w:p>
    <w:p w:rsidR="008647F7" w:rsidRDefault="002251EA">
      <w:pPr>
        <w:numPr>
          <w:ilvl w:val="0"/>
          <w:numId w:val="3"/>
        </w:numPr>
        <w:rPr>
          <w:rFonts w:ascii="Overlock" w:eastAsia="Overlock" w:hAnsi="Overlock" w:cs="Overlock"/>
          <w:b/>
          <w:sz w:val="24"/>
          <w:szCs w:val="24"/>
        </w:rPr>
      </w:pPr>
      <w:r>
        <w:rPr>
          <w:rFonts w:ascii="Overlock" w:eastAsia="Overlock" w:hAnsi="Overlock" w:cs="Overlock"/>
          <w:b/>
          <w:sz w:val="24"/>
          <w:szCs w:val="24"/>
        </w:rPr>
        <w:t>Hitos relevantes del nodo acorde a la línea de tiempo</w:t>
      </w:r>
    </w:p>
    <w:p w:rsidR="008647F7" w:rsidRDefault="008647F7">
      <w:pPr>
        <w:ind w:left="720"/>
      </w:pPr>
    </w:p>
    <w:tbl>
      <w:tblPr>
        <w:tblStyle w:val="a7"/>
        <w:tblW w:w="9408" w:type="dxa"/>
        <w:tblInd w:w="0" w:type="dxa"/>
        <w:tblLayout w:type="fixed"/>
        <w:tblLook w:val="0400" w:firstRow="0" w:lastRow="0" w:firstColumn="0" w:lastColumn="0" w:noHBand="0" w:noVBand="1"/>
      </w:tblPr>
      <w:tblGrid>
        <w:gridCol w:w="1102"/>
        <w:gridCol w:w="2239"/>
        <w:gridCol w:w="2749"/>
        <w:gridCol w:w="3318"/>
      </w:tblGrid>
      <w:tr w:rsidR="008647F7">
        <w:trPr>
          <w:trHeight w:val="521"/>
        </w:trPr>
        <w:tc>
          <w:tcPr>
            <w:tcW w:w="1103"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lastRenderedPageBreak/>
              <w:t>Año</w:t>
            </w:r>
          </w:p>
        </w:tc>
        <w:tc>
          <w:tcPr>
            <w:tcW w:w="2239"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Hito</w:t>
            </w:r>
          </w:p>
        </w:tc>
        <w:tc>
          <w:tcPr>
            <w:tcW w:w="2749"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Oportunidades que se dieron en cada hito</w:t>
            </w:r>
          </w:p>
        </w:tc>
        <w:tc>
          <w:tcPr>
            <w:tcW w:w="3318"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Retos o problemas a los que se enfrentó en cada hito.</w:t>
            </w:r>
          </w:p>
        </w:tc>
      </w:tr>
      <w:tr w:rsidR="008647F7">
        <w:trPr>
          <w:trHeight w:val="299"/>
        </w:trPr>
        <w:tc>
          <w:tcPr>
            <w:tcW w:w="1103"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2011</w:t>
            </w:r>
          </w:p>
        </w:tc>
        <w:tc>
          <w:tcPr>
            <w:tcW w:w="2239"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Constitución del Nodo</w:t>
            </w:r>
          </w:p>
        </w:tc>
        <w:tc>
          <w:tcPr>
            <w:tcW w:w="2749"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Acuerdo de voluntades</w:t>
            </w:r>
          </w:p>
        </w:tc>
        <w:tc>
          <w:tcPr>
            <w:tcW w:w="3318" w:type="dxa"/>
            <w:tcBorders>
              <w:top w:val="nil"/>
              <w:left w:val="nil"/>
              <w:bottom w:val="single" w:sz="8" w:space="0" w:color="000000"/>
              <w:right w:val="single" w:sz="8" w:space="0" w:color="000000"/>
            </w:tcBorders>
            <w:shd w:val="clear" w:color="auto" w:fill="auto"/>
            <w:vAlign w:val="center"/>
          </w:tcPr>
          <w:p w:rsidR="008647F7" w:rsidRDefault="008647F7">
            <w:pPr>
              <w:spacing w:after="0"/>
              <w:rPr>
                <w:rFonts w:ascii="Arial" w:eastAsia="Arial" w:hAnsi="Arial" w:cs="Arial"/>
                <w:color w:val="000000"/>
                <w:sz w:val="16"/>
                <w:szCs w:val="16"/>
              </w:rPr>
            </w:pPr>
          </w:p>
        </w:tc>
      </w:tr>
      <w:tr w:rsidR="008647F7">
        <w:trPr>
          <w:trHeight w:val="299"/>
        </w:trPr>
        <w:tc>
          <w:tcPr>
            <w:tcW w:w="1103"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2012</w:t>
            </w:r>
          </w:p>
        </w:tc>
        <w:tc>
          <w:tcPr>
            <w:tcW w:w="2239"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Apoyo Convenio Especial de Cooperación 226.Cámara de comercio de Dosquebradas</w:t>
            </w:r>
          </w:p>
        </w:tc>
        <w:tc>
          <w:tcPr>
            <w:tcW w:w="2749"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Identificación de emprendimientos desde la metalmecánica que aporten a la agroindustria (20 emprendimientos)</w:t>
            </w:r>
          </w:p>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xml:space="preserve">Articulación con actores de </w:t>
            </w:r>
            <w:proofErr w:type="spellStart"/>
            <w:r>
              <w:rPr>
                <w:rFonts w:ascii="Arial" w:eastAsia="Arial" w:hAnsi="Arial" w:cs="Arial"/>
                <w:color w:val="000000"/>
                <w:sz w:val="16"/>
                <w:szCs w:val="16"/>
              </w:rPr>
              <w:t>CTeI</w:t>
            </w:r>
            <w:proofErr w:type="spellEnd"/>
            <w:r>
              <w:rPr>
                <w:rFonts w:ascii="Arial" w:eastAsia="Arial" w:hAnsi="Arial" w:cs="Arial"/>
                <w:color w:val="000000"/>
                <w:sz w:val="16"/>
                <w:szCs w:val="16"/>
              </w:rPr>
              <w:t xml:space="preserve"> del Departamento</w:t>
            </w:r>
          </w:p>
        </w:tc>
        <w:tc>
          <w:tcPr>
            <w:tcW w:w="3318" w:type="dxa"/>
            <w:tcBorders>
              <w:top w:val="nil"/>
              <w:left w:val="nil"/>
              <w:bottom w:val="single" w:sz="8" w:space="0" w:color="000000"/>
              <w:right w:val="single" w:sz="8" w:space="0" w:color="000000"/>
            </w:tcBorders>
            <w:shd w:val="clear" w:color="auto" w:fill="auto"/>
            <w:vAlign w:val="center"/>
          </w:tcPr>
          <w:p w:rsidR="008647F7" w:rsidRDefault="008647F7">
            <w:pPr>
              <w:spacing w:after="0"/>
              <w:rPr>
                <w:rFonts w:ascii="Arial" w:eastAsia="Arial" w:hAnsi="Arial" w:cs="Arial"/>
                <w:color w:val="000000"/>
                <w:sz w:val="16"/>
                <w:szCs w:val="16"/>
              </w:rPr>
            </w:pPr>
          </w:p>
        </w:tc>
      </w:tr>
      <w:tr w:rsidR="008647F7">
        <w:trPr>
          <w:trHeight w:val="299"/>
        </w:trPr>
        <w:tc>
          <w:tcPr>
            <w:tcW w:w="1103"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2014-2017</w:t>
            </w:r>
          </w:p>
        </w:tc>
        <w:tc>
          <w:tcPr>
            <w:tcW w:w="2239"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xml:space="preserve">Proyecto “FORTALECIMIENTO DEL SECTOR AGROPECUARIO Y AGROINDUSTRIAL, MEDIANTE LA INNOVACIÓN, CIENCIA Y TECNOLOGÍA EN EL DEPARTAMENTO DE RISARALDA”, </w:t>
            </w:r>
          </w:p>
        </w:tc>
        <w:tc>
          <w:tcPr>
            <w:tcW w:w="2749"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Impactar como beneficiarios a 3.000 productores de los sistemas productivos (lulo, Mora, Aguacate, Plátano, Forestales, Medicinales, Peces, Aves y Porcinos), con el</w:t>
            </w:r>
          </w:p>
        </w:tc>
        <w:tc>
          <w:tcPr>
            <w:tcW w:w="3318"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Articulación con otros actores del Nodo</w:t>
            </w:r>
          </w:p>
        </w:tc>
      </w:tr>
      <w:tr w:rsidR="008647F7">
        <w:trPr>
          <w:trHeight w:val="299"/>
        </w:trPr>
        <w:tc>
          <w:tcPr>
            <w:tcW w:w="1103" w:type="dxa"/>
            <w:tcBorders>
              <w:top w:val="nil"/>
              <w:left w:val="single" w:sz="8" w:space="0" w:color="000000"/>
              <w:bottom w:val="single" w:sz="8" w:space="0" w:color="000000"/>
              <w:right w:val="single" w:sz="8" w:space="0" w:color="000000"/>
            </w:tcBorders>
            <w:shd w:val="clear" w:color="auto" w:fill="auto"/>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xml:space="preserve"> 2016</w:t>
            </w:r>
          </w:p>
        </w:tc>
        <w:tc>
          <w:tcPr>
            <w:tcW w:w="2239" w:type="dxa"/>
            <w:tcBorders>
              <w:top w:val="nil"/>
              <w:left w:val="nil"/>
              <w:bottom w:val="single" w:sz="8" w:space="0" w:color="000000"/>
              <w:right w:val="single" w:sz="8" w:space="0" w:color="000000"/>
            </w:tcBorders>
            <w:shd w:val="clear" w:color="auto" w:fill="auto"/>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xml:space="preserve">Apoyo en la formulación, identificación retos Agroindustria y en MGA de </w:t>
            </w:r>
            <w:proofErr w:type="gramStart"/>
            <w:r>
              <w:rPr>
                <w:rFonts w:ascii="Arial" w:eastAsia="Arial" w:hAnsi="Arial" w:cs="Arial"/>
                <w:color w:val="000000"/>
                <w:sz w:val="16"/>
                <w:szCs w:val="16"/>
              </w:rPr>
              <w:t>proyecto  “</w:t>
            </w:r>
            <w:proofErr w:type="gramEnd"/>
            <w:r>
              <w:rPr>
                <w:rFonts w:ascii="Arial" w:eastAsia="Arial" w:hAnsi="Arial" w:cs="Arial"/>
                <w:color w:val="000000"/>
                <w:sz w:val="16"/>
                <w:szCs w:val="16"/>
              </w:rPr>
              <w:t>CONSOLIDACIÓN DEL ECOSISTEMA DE CTI  MEDIANTE UNA CONVOCATORIA REGIONALDE INVESTIGACION APLICADA, EN EL DEPARTAMENTO DE RISARALDA</w:t>
            </w:r>
          </w:p>
        </w:tc>
        <w:tc>
          <w:tcPr>
            <w:tcW w:w="2749" w:type="dxa"/>
            <w:tcBorders>
              <w:top w:val="nil"/>
              <w:left w:val="nil"/>
              <w:bottom w:val="single" w:sz="8" w:space="0" w:color="000000"/>
              <w:right w:val="single" w:sz="8" w:space="0" w:color="000000"/>
            </w:tcBorders>
            <w:shd w:val="clear" w:color="auto" w:fill="auto"/>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Articulación entre Nodos</w:t>
            </w:r>
          </w:p>
        </w:tc>
        <w:tc>
          <w:tcPr>
            <w:tcW w:w="3318" w:type="dxa"/>
            <w:tcBorders>
              <w:top w:val="nil"/>
              <w:left w:val="nil"/>
              <w:bottom w:val="single" w:sz="8" w:space="0" w:color="000000"/>
              <w:right w:val="single" w:sz="8" w:space="0" w:color="000000"/>
            </w:tcBorders>
            <w:shd w:val="clear" w:color="auto" w:fill="auto"/>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xml:space="preserve"> Continuidad en el proceso</w:t>
            </w:r>
          </w:p>
        </w:tc>
      </w:tr>
      <w:tr w:rsidR="008647F7">
        <w:trPr>
          <w:trHeight w:val="299"/>
        </w:trPr>
        <w:tc>
          <w:tcPr>
            <w:tcW w:w="1103" w:type="dxa"/>
            <w:tcBorders>
              <w:top w:val="nil"/>
              <w:left w:val="single" w:sz="8" w:space="0" w:color="000000"/>
              <w:bottom w:val="single" w:sz="4"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2017</w:t>
            </w:r>
          </w:p>
        </w:tc>
        <w:tc>
          <w:tcPr>
            <w:tcW w:w="2239" w:type="dxa"/>
            <w:tcBorders>
              <w:top w:val="nil"/>
              <w:left w:val="nil"/>
              <w:bottom w:val="single" w:sz="4"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Foro de Educación Rural “Hacia una nueva Ruralidad</w:t>
            </w:r>
          </w:p>
        </w:tc>
        <w:tc>
          <w:tcPr>
            <w:tcW w:w="2749" w:type="dxa"/>
            <w:tcBorders>
              <w:top w:val="nil"/>
              <w:left w:val="nil"/>
              <w:bottom w:val="single" w:sz="4"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xml:space="preserve"> Especio de reflexión </w:t>
            </w:r>
            <w:proofErr w:type="gramStart"/>
            <w:r>
              <w:rPr>
                <w:rFonts w:ascii="Arial" w:eastAsia="Arial" w:hAnsi="Arial" w:cs="Arial"/>
                <w:color w:val="000000"/>
                <w:sz w:val="16"/>
                <w:szCs w:val="16"/>
              </w:rPr>
              <w:t>con  amplia</w:t>
            </w:r>
            <w:proofErr w:type="gramEnd"/>
            <w:r>
              <w:rPr>
                <w:rFonts w:ascii="Arial" w:eastAsia="Arial" w:hAnsi="Arial" w:cs="Arial"/>
                <w:color w:val="000000"/>
                <w:sz w:val="16"/>
                <w:szCs w:val="16"/>
              </w:rPr>
              <w:t xml:space="preserve"> participación</w:t>
            </w:r>
          </w:p>
        </w:tc>
        <w:tc>
          <w:tcPr>
            <w:tcW w:w="3318" w:type="dxa"/>
            <w:tcBorders>
              <w:top w:val="nil"/>
              <w:left w:val="nil"/>
              <w:bottom w:val="single" w:sz="4"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Financiación</w:t>
            </w:r>
          </w:p>
        </w:tc>
      </w:tr>
      <w:tr w:rsidR="008647F7">
        <w:trPr>
          <w:trHeight w:val="299"/>
        </w:trPr>
        <w:tc>
          <w:tcPr>
            <w:tcW w:w="11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2018</w:t>
            </w:r>
          </w:p>
        </w:tc>
        <w:tc>
          <w:tcPr>
            <w:tcW w:w="22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Taller Tejiendo la RED</w:t>
            </w:r>
          </w:p>
        </w:tc>
        <w:tc>
          <w:tcPr>
            <w:tcW w:w="27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Socializar logros, retos y proyecciones del Nodo</w:t>
            </w:r>
          </w:p>
        </w:tc>
        <w:tc>
          <w:tcPr>
            <w:tcW w:w="3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8647F7">
            <w:pPr>
              <w:spacing w:after="0"/>
              <w:rPr>
                <w:rFonts w:ascii="Arial" w:eastAsia="Arial" w:hAnsi="Arial" w:cs="Arial"/>
                <w:color w:val="000000"/>
                <w:sz w:val="16"/>
                <w:szCs w:val="16"/>
              </w:rPr>
            </w:pPr>
          </w:p>
        </w:tc>
      </w:tr>
      <w:tr w:rsidR="008647F7">
        <w:trPr>
          <w:trHeight w:val="299"/>
        </w:trPr>
        <w:tc>
          <w:tcPr>
            <w:tcW w:w="11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2021</w:t>
            </w:r>
          </w:p>
        </w:tc>
        <w:tc>
          <w:tcPr>
            <w:tcW w:w="22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Construcción colectiva Proyección de la RDN</w:t>
            </w:r>
          </w:p>
        </w:tc>
        <w:tc>
          <w:tcPr>
            <w:tcW w:w="27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w:t>
            </w:r>
          </w:p>
        </w:tc>
        <w:tc>
          <w:tcPr>
            <w:tcW w:w="3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w:t>
            </w:r>
          </w:p>
        </w:tc>
      </w:tr>
      <w:tr w:rsidR="008647F7">
        <w:trPr>
          <w:trHeight w:val="299"/>
        </w:trPr>
        <w:tc>
          <w:tcPr>
            <w:tcW w:w="11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xml:space="preserve">2022 </w:t>
            </w:r>
          </w:p>
        </w:tc>
        <w:tc>
          <w:tcPr>
            <w:tcW w:w="22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xml:space="preserve">Presentación proyecto de Economía circular en el sector agroindustrial a convocatoria 30 de </w:t>
            </w:r>
            <w:proofErr w:type="spellStart"/>
            <w:r>
              <w:rPr>
                <w:rFonts w:ascii="Arial" w:eastAsia="Arial" w:hAnsi="Arial" w:cs="Arial"/>
                <w:color w:val="000000"/>
                <w:sz w:val="16"/>
                <w:szCs w:val="16"/>
              </w:rPr>
              <w:t>Minciencias</w:t>
            </w:r>
            <w:proofErr w:type="spellEnd"/>
          </w:p>
        </w:tc>
        <w:tc>
          <w:tcPr>
            <w:tcW w:w="27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Articulación con el Centro Tecnológico de Antioquia (CTA), UTP, Gobernación de Quindío y Risaralda</w:t>
            </w:r>
          </w:p>
          <w:p w:rsidR="008647F7" w:rsidRDefault="008647F7">
            <w:pPr>
              <w:spacing w:after="0"/>
              <w:rPr>
                <w:rFonts w:ascii="Arial" w:eastAsia="Arial" w:hAnsi="Arial" w:cs="Arial"/>
                <w:color w:val="000000"/>
                <w:sz w:val="16"/>
                <w:szCs w:val="16"/>
              </w:rPr>
            </w:pPr>
          </w:p>
        </w:tc>
        <w:tc>
          <w:tcPr>
            <w:tcW w:w="3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8647F7">
            <w:pPr>
              <w:spacing w:after="0"/>
              <w:rPr>
                <w:rFonts w:ascii="Arial" w:eastAsia="Arial" w:hAnsi="Arial" w:cs="Arial"/>
                <w:color w:val="000000"/>
                <w:sz w:val="16"/>
                <w:szCs w:val="16"/>
              </w:rPr>
            </w:pPr>
          </w:p>
        </w:tc>
      </w:tr>
      <w:tr w:rsidR="008647F7">
        <w:trPr>
          <w:trHeight w:val="299"/>
        </w:trPr>
        <w:tc>
          <w:tcPr>
            <w:tcW w:w="11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2022</w:t>
            </w:r>
          </w:p>
        </w:tc>
        <w:tc>
          <w:tcPr>
            <w:tcW w:w="22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Apoyo en proceso de construcción del POT Pereira</w:t>
            </w:r>
          </w:p>
        </w:tc>
        <w:tc>
          <w:tcPr>
            <w:tcW w:w="27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Articulación con sector público</w:t>
            </w:r>
          </w:p>
        </w:tc>
        <w:tc>
          <w:tcPr>
            <w:tcW w:w="3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7F7" w:rsidRDefault="008647F7">
            <w:pPr>
              <w:spacing w:after="0"/>
              <w:rPr>
                <w:rFonts w:ascii="Arial" w:eastAsia="Arial" w:hAnsi="Arial" w:cs="Arial"/>
                <w:color w:val="000000"/>
                <w:sz w:val="16"/>
                <w:szCs w:val="16"/>
              </w:rPr>
            </w:pPr>
          </w:p>
        </w:tc>
      </w:tr>
    </w:tbl>
    <w:p w:rsidR="008647F7" w:rsidRDefault="008647F7">
      <w:pPr>
        <w:ind w:left="720"/>
        <w:rPr>
          <w:rFonts w:ascii="Overlock" w:eastAsia="Overlock" w:hAnsi="Overlock" w:cs="Overlock"/>
          <w:b/>
          <w:sz w:val="24"/>
          <w:szCs w:val="24"/>
        </w:rPr>
      </w:pPr>
    </w:p>
    <w:p w:rsidR="008647F7" w:rsidRDefault="002251EA">
      <w:pPr>
        <w:numPr>
          <w:ilvl w:val="0"/>
          <w:numId w:val="3"/>
        </w:numPr>
      </w:pPr>
      <w:r>
        <w:rPr>
          <w:rFonts w:ascii="Overlock" w:eastAsia="Overlock" w:hAnsi="Overlock" w:cs="Overlock"/>
          <w:sz w:val="24"/>
          <w:szCs w:val="24"/>
        </w:rPr>
        <w:t>Describa si cuenta con Iniciativas o programas de fomento al talento</w:t>
      </w:r>
    </w:p>
    <w:tbl>
      <w:tblPr>
        <w:tblStyle w:val="a8"/>
        <w:tblW w:w="9629" w:type="dxa"/>
        <w:tblInd w:w="0" w:type="dxa"/>
        <w:tblLayout w:type="fixed"/>
        <w:tblLook w:val="0400" w:firstRow="0" w:lastRow="0" w:firstColumn="0" w:lastColumn="0" w:noHBand="0" w:noVBand="1"/>
      </w:tblPr>
      <w:tblGrid>
        <w:gridCol w:w="3492"/>
        <w:gridCol w:w="6137"/>
      </w:tblGrid>
      <w:tr w:rsidR="008647F7">
        <w:trPr>
          <w:trHeight w:val="594"/>
        </w:trPr>
        <w:tc>
          <w:tcPr>
            <w:tcW w:w="3492"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Nombre</w:t>
            </w:r>
          </w:p>
        </w:tc>
        <w:tc>
          <w:tcPr>
            <w:tcW w:w="6137"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Breve descripción</w:t>
            </w:r>
          </w:p>
        </w:tc>
      </w:tr>
      <w:tr w:rsidR="008647F7">
        <w:trPr>
          <w:trHeight w:val="341"/>
        </w:trPr>
        <w:tc>
          <w:tcPr>
            <w:tcW w:w="349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6137"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341"/>
        </w:trPr>
        <w:tc>
          <w:tcPr>
            <w:tcW w:w="349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lastRenderedPageBreak/>
              <w:t> </w:t>
            </w:r>
          </w:p>
        </w:tc>
        <w:tc>
          <w:tcPr>
            <w:tcW w:w="6137"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341"/>
        </w:trPr>
        <w:tc>
          <w:tcPr>
            <w:tcW w:w="349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6137"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341"/>
        </w:trPr>
        <w:tc>
          <w:tcPr>
            <w:tcW w:w="349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6137"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bl>
    <w:p w:rsidR="008647F7" w:rsidRDefault="008647F7">
      <w:pPr>
        <w:rPr>
          <w:rFonts w:ascii="Overlock" w:eastAsia="Overlock" w:hAnsi="Overlock" w:cs="Overlock"/>
          <w:sz w:val="24"/>
          <w:szCs w:val="24"/>
        </w:rPr>
      </w:pPr>
    </w:p>
    <w:p w:rsidR="008647F7" w:rsidRDefault="002251EA">
      <w:pPr>
        <w:numPr>
          <w:ilvl w:val="0"/>
          <w:numId w:val="3"/>
        </w:numPr>
        <w:rPr>
          <w:rFonts w:ascii="Overlock" w:eastAsia="Overlock" w:hAnsi="Overlock" w:cs="Overlock"/>
          <w:sz w:val="24"/>
          <w:szCs w:val="24"/>
        </w:rPr>
      </w:pPr>
      <w:r>
        <w:rPr>
          <w:rFonts w:ascii="Overlock" w:eastAsia="Overlock" w:hAnsi="Overlock" w:cs="Overlock"/>
          <w:sz w:val="24"/>
          <w:szCs w:val="24"/>
        </w:rPr>
        <w:t>Mecanismos de financiación del nodo (Describa brevemente)</w:t>
      </w:r>
    </w:p>
    <w:p w:rsidR="008647F7" w:rsidRDefault="002251EA">
      <w:pPr>
        <w:ind w:left="720"/>
        <w:rPr>
          <w:rFonts w:ascii="Overlock" w:eastAsia="Overlock" w:hAnsi="Overlock" w:cs="Overlock"/>
          <w:sz w:val="24"/>
          <w:szCs w:val="24"/>
        </w:rPr>
      </w:pPr>
      <w:r>
        <w:rPr>
          <w:rFonts w:ascii="Overlock" w:eastAsia="Overlock" w:hAnsi="Overlock" w:cs="Overlock"/>
          <w:sz w:val="24"/>
          <w:szCs w:val="24"/>
        </w:rPr>
        <w:t xml:space="preserve">Las actividades del Nodo Agropecuario y Agroindustrial se financian con recursos y capacidades de las Instituciones vinculadas y recursos de convocatorias cuyas fuentes pueden ser SGR, Cooperación Internacional o presupuesto del Estado. </w:t>
      </w:r>
    </w:p>
    <w:p w:rsidR="008647F7" w:rsidRDefault="008647F7">
      <w:pPr>
        <w:rPr>
          <w:rFonts w:ascii="Overlock" w:eastAsia="Overlock" w:hAnsi="Overlock" w:cs="Overlock"/>
          <w:sz w:val="24"/>
          <w:szCs w:val="24"/>
        </w:rPr>
      </w:pPr>
    </w:p>
    <w:p w:rsidR="008647F7" w:rsidRDefault="002251EA">
      <w:pPr>
        <w:numPr>
          <w:ilvl w:val="0"/>
          <w:numId w:val="3"/>
        </w:numPr>
        <w:rPr>
          <w:rFonts w:ascii="Overlock" w:eastAsia="Overlock" w:hAnsi="Overlock" w:cs="Overlock"/>
          <w:sz w:val="24"/>
          <w:szCs w:val="24"/>
        </w:rPr>
      </w:pPr>
      <w:r>
        <w:rPr>
          <w:rFonts w:ascii="Overlock" w:eastAsia="Overlock" w:hAnsi="Overlock" w:cs="Overlock"/>
          <w:sz w:val="24"/>
          <w:szCs w:val="24"/>
        </w:rPr>
        <w:t>Qué proyectos de innovación o desarrollo tecnológico se han ejecutado desde el nodo y con qué aliados</w:t>
      </w:r>
    </w:p>
    <w:p w:rsidR="008647F7" w:rsidRDefault="008647F7">
      <w:pPr>
        <w:ind w:left="720"/>
      </w:pPr>
    </w:p>
    <w:tbl>
      <w:tblPr>
        <w:tblStyle w:val="a9"/>
        <w:tblW w:w="10403" w:type="dxa"/>
        <w:tblInd w:w="0" w:type="dxa"/>
        <w:tblLayout w:type="fixed"/>
        <w:tblLook w:val="0400" w:firstRow="0" w:lastRow="0" w:firstColumn="0" w:lastColumn="0" w:noHBand="0" w:noVBand="1"/>
      </w:tblPr>
      <w:tblGrid>
        <w:gridCol w:w="1784"/>
        <w:gridCol w:w="1147"/>
        <w:gridCol w:w="1389"/>
        <w:gridCol w:w="1456"/>
        <w:gridCol w:w="1458"/>
        <w:gridCol w:w="1572"/>
        <w:gridCol w:w="1597"/>
      </w:tblGrid>
      <w:tr w:rsidR="008647F7">
        <w:trPr>
          <w:trHeight w:val="762"/>
        </w:trPr>
        <w:tc>
          <w:tcPr>
            <w:tcW w:w="1784" w:type="dxa"/>
            <w:tcBorders>
              <w:top w:val="single" w:sz="8" w:space="0" w:color="000000"/>
              <w:left w:val="single" w:sz="8" w:space="0" w:color="000000"/>
              <w:bottom w:val="nil"/>
              <w:right w:val="nil"/>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bookmarkStart w:id="1" w:name="_heading=h.30j0zll" w:colFirst="0" w:colLast="0"/>
            <w:bookmarkEnd w:id="1"/>
            <w:r>
              <w:rPr>
                <w:rFonts w:ascii="Overlock" w:eastAsia="Overlock" w:hAnsi="Overlock" w:cs="Overlock"/>
                <w:b/>
                <w:color w:val="000000"/>
                <w:sz w:val="24"/>
                <w:szCs w:val="24"/>
              </w:rPr>
              <w:t>Proyecto</w:t>
            </w:r>
          </w:p>
        </w:tc>
        <w:tc>
          <w:tcPr>
            <w:tcW w:w="1147" w:type="dxa"/>
            <w:tcBorders>
              <w:top w:val="single" w:sz="8" w:space="0" w:color="000000"/>
              <w:left w:val="single" w:sz="8" w:space="0" w:color="000000"/>
              <w:bottom w:val="nil"/>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Año inicio y año fin</w:t>
            </w:r>
          </w:p>
        </w:tc>
        <w:tc>
          <w:tcPr>
            <w:tcW w:w="1389" w:type="dxa"/>
            <w:tcBorders>
              <w:top w:val="single" w:sz="8" w:space="0" w:color="000000"/>
              <w:left w:val="nil"/>
              <w:bottom w:val="nil"/>
              <w:right w:val="nil"/>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Fuente financiación</w:t>
            </w:r>
          </w:p>
        </w:tc>
        <w:tc>
          <w:tcPr>
            <w:tcW w:w="1456" w:type="dxa"/>
            <w:tcBorders>
              <w:top w:val="single" w:sz="8" w:space="0" w:color="000000"/>
              <w:left w:val="single" w:sz="8" w:space="0" w:color="000000"/>
              <w:bottom w:val="nil"/>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Valor</w:t>
            </w:r>
          </w:p>
        </w:tc>
        <w:tc>
          <w:tcPr>
            <w:tcW w:w="1458" w:type="dxa"/>
            <w:tcBorders>
              <w:top w:val="single" w:sz="8" w:space="0" w:color="000000"/>
              <w:left w:val="nil"/>
              <w:bottom w:val="nil"/>
              <w:right w:val="nil"/>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Lugar(es) de intervención</w:t>
            </w:r>
          </w:p>
        </w:tc>
        <w:tc>
          <w:tcPr>
            <w:tcW w:w="1572" w:type="dxa"/>
            <w:tcBorders>
              <w:top w:val="single" w:sz="8" w:space="0" w:color="000000"/>
              <w:left w:val="single" w:sz="8" w:space="0" w:color="000000"/>
              <w:bottom w:val="nil"/>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Comunidades beneficiarias</w:t>
            </w:r>
          </w:p>
        </w:tc>
        <w:tc>
          <w:tcPr>
            <w:tcW w:w="1597" w:type="dxa"/>
            <w:tcBorders>
              <w:top w:val="single" w:sz="8" w:space="0" w:color="000000"/>
              <w:left w:val="nil"/>
              <w:bottom w:val="nil"/>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Aliados</w:t>
            </w:r>
          </w:p>
        </w:tc>
      </w:tr>
      <w:tr w:rsidR="008647F7">
        <w:trPr>
          <w:trHeight w:val="437"/>
        </w:trPr>
        <w:tc>
          <w:tcPr>
            <w:tcW w:w="1784" w:type="dxa"/>
            <w:tcBorders>
              <w:top w:val="single" w:sz="8" w:space="0" w:color="000000"/>
              <w:left w:val="single" w:sz="8" w:space="0" w:color="000000"/>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r>
              <w:rPr>
                <w:rFonts w:ascii="Arial" w:eastAsia="Arial" w:hAnsi="Arial" w:cs="Arial"/>
                <w:color w:val="000000"/>
                <w:sz w:val="16"/>
                <w:szCs w:val="16"/>
              </w:rPr>
              <w:t>“FORTALECIMIENTO DEL SECTOR AGROPECUARIO Y AGROINDUSTRIAL, MEDIANTE LA INNOVACIÓN, CIENCIA Y TECNOLOGÍA EN EL DEPARTAMENTO DE RISARALDA”,</w:t>
            </w:r>
          </w:p>
        </w:tc>
        <w:tc>
          <w:tcPr>
            <w:tcW w:w="1147" w:type="dxa"/>
            <w:tcBorders>
              <w:top w:val="single" w:sz="8" w:space="0" w:color="000000"/>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2014</w:t>
            </w:r>
          </w:p>
        </w:tc>
        <w:tc>
          <w:tcPr>
            <w:tcW w:w="1389" w:type="dxa"/>
            <w:tcBorders>
              <w:top w:val="single" w:sz="8" w:space="0" w:color="000000"/>
              <w:left w:val="nil"/>
              <w:bottom w:val="single" w:sz="8" w:space="0" w:color="000000"/>
              <w:right w:val="nil"/>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2017</w:t>
            </w:r>
          </w:p>
        </w:tc>
        <w:tc>
          <w:tcPr>
            <w:tcW w:w="14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5.600.000000</w:t>
            </w:r>
          </w:p>
        </w:tc>
        <w:tc>
          <w:tcPr>
            <w:tcW w:w="1458" w:type="dxa"/>
            <w:tcBorders>
              <w:top w:val="single" w:sz="8" w:space="0" w:color="000000"/>
              <w:left w:val="nil"/>
              <w:bottom w:val="single" w:sz="8" w:space="0" w:color="000000"/>
              <w:right w:val="nil"/>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Risaralda</w:t>
            </w:r>
          </w:p>
        </w:tc>
        <w:tc>
          <w:tcPr>
            <w:tcW w:w="1572" w:type="dxa"/>
            <w:tcBorders>
              <w:top w:val="single" w:sz="8" w:space="0" w:color="000000"/>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xml:space="preserve"> 3600 productores </w:t>
            </w:r>
          </w:p>
        </w:tc>
        <w:tc>
          <w:tcPr>
            <w:tcW w:w="1597" w:type="dxa"/>
            <w:tcBorders>
              <w:top w:val="single" w:sz="8" w:space="0" w:color="000000"/>
              <w:left w:val="nil"/>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sz w:val="16"/>
                <w:szCs w:val="16"/>
              </w:rPr>
            </w:pPr>
            <w:r>
              <w:rPr>
                <w:rFonts w:ascii="Arial" w:eastAsia="Arial" w:hAnsi="Arial" w:cs="Arial"/>
                <w:color w:val="000000"/>
                <w:sz w:val="16"/>
                <w:szCs w:val="16"/>
              </w:rPr>
              <w:t> </w:t>
            </w:r>
            <w:proofErr w:type="spellStart"/>
            <w:r>
              <w:rPr>
                <w:rFonts w:ascii="Arial" w:eastAsia="Arial" w:hAnsi="Arial" w:cs="Arial"/>
                <w:color w:val="000000"/>
                <w:sz w:val="16"/>
                <w:szCs w:val="16"/>
              </w:rPr>
              <w:t>Agrosavia</w:t>
            </w:r>
            <w:proofErr w:type="spellEnd"/>
            <w:r>
              <w:rPr>
                <w:rFonts w:ascii="Arial" w:eastAsia="Arial" w:hAnsi="Arial" w:cs="Arial"/>
                <w:color w:val="000000"/>
                <w:sz w:val="16"/>
                <w:szCs w:val="16"/>
              </w:rPr>
              <w:t>, Secretaria Desarrollo Agropecuario de Risaralda</w:t>
            </w:r>
          </w:p>
        </w:tc>
      </w:tr>
    </w:tbl>
    <w:p w:rsidR="008647F7" w:rsidRDefault="008647F7">
      <w:pPr>
        <w:ind w:left="720"/>
        <w:rPr>
          <w:rFonts w:ascii="Overlock" w:eastAsia="Overlock" w:hAnsi="Overlock" w:cs="Overlock"/>
          <w:sz w:val="24"/>
          <w:szCs w:val="24"/>
        </w:rPr>
      </w:pPr>
    </w:p>
    <w:p w:rsidR="008647F7" w:rsidRDefault="002251EA">
      <w:pPr>
        <w:numPr>
          <w:ilvl w:val="0"/>
          <w:numId w:val="3"/>
        </w:numPr>
        <w:rPr>
          <w:rFonts w:ascii="Overlock" w:eastAsia="Overlock" w:hAnsi="Overlock" w:cs="Overlock"/>
          <w:sz w:val="24"/>
          <w:szCs w:val="24"/>
        </w:rPr>
      </w:pPr>
      <w:r>
        <w:rPr>
          <w:rFonts w:ascii="Overlock" w:eastAsia="Overlock" w:hAnsi="Overlock" w:cs="Overlock"/>
          <w:sz w:val="24"/>
          <w:szCs w:val="24"/>
        </w:rPr>
        <w:t xml:space="preserve">Qué proyectos tiene actualmente en curso o proyectados </w:t>
      </w:r>
    </w:p>
    <w:p w:rsidR="008647F7" w:rsidRDefault="008647F7">
      <w:pPr>
        <w:ind w:left="720"/>
      </w:pPr>
      <w:bookmarkStart w:id="2" w:name="_heading=h.zs11xgrt6wn" w:colFirst="0" w:colLast="0"/>
      <w:bookmarkEnd w:id="2"/>
    </w:p>
    <w:tbl>
      <w:tblPr>
        <w:tblStyle w:val="aa"/>
        <w:tblW w:w="10440" w:type="dxa"/>
        <w:tblInd w:w="0" w:type="dxa"/>
        <w:tblLayout w:type="fixed"/>
        <w:tblLook w:val="0400" w:firstRow="0" w:lastRow="0" w:firstColumn="0" w:lastColumn="0" w:noHBand="0" w:noVBand="1"/>
      </w:tblPr>
      <w:tblGrid>
        <w:gridCol w:w="1458"/>
        <w:gridCol w:w="1284"/>
        <w:gridCol w:w="1394"/>
        <w:gridCol w:w="1522"/>
        <w:gridCol w:w="1467"/>
        <w:gridCol w:w="1572"/>
        <w:gridCol w:w="1743"/>
      </w:tblGrid>
      <w:tr w:rsidR="008647F7">
        <w:trPr>
          <w:trHeight w:val="772"/>
        </w:trPr>
        <w:tc>
          <w:tcPr>
            <w:tcW w:w="1458" w:type="dxa"/>
            <w:tcBorders>
              <w:top w:val="single" w:sz="8" w:space="0" w:color="000000"/>
              <w:left w:val="single" w:sz="8" w:space="0" w:color="000000"/>
              <w:bottom w:val="nil"/>
              <w:right w:val="nil"/>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Proyecto</w:t>
            </w:r>
          </w:p>
        </w:tc>
        <w:tc>
          <w:tcPr>
            <w:tcW w:w="1284" w:type="dxa"/>
            <w:tcBorders>
              <w:top w:val="single" w:sz="8" w:space="0" w:color="000000"/>
              <w:left w:val="single" w:sz="8" w:space="0" w:color="000000"/>
              <w:bottom w:val="nil"/>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Año inicio y año fin</w:t>
            </w:r>
          </w:p>
        </w:tc>
        <w:tc>
          <w:tcPr>
            <w:tcW w:w="1394" w:type="dxa"/>
            <w:tcBorders>
              <w:top w:val="single" w:sz="8" w:space="0" w:color="000000"/>
              <w:left w:val="nil"/>
              <w:bottom w:val="nil"/>
              <w:right w:val="nil"/>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Fuente financiación</w:t>
            </w:r>
          </w:p>
        </w:tc>
        <w:tc>
          <w:tcPr>
            <w:tcW w:w="1522" w:type="dxa"/>
            <w:tcBorders>
              <w:top w:val="single" w:sz="8" w:space="0" w:color="000000"/>
              <w:left w:val="single" w:sz="8" w:space="0" w:color="000000"/>
              <w:bottom w:val="nil"/>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Valor</w:t>
            </w:r>
          </w:p>
        </w:tc>
        <w:tc>
          <w:tcPr>
            <w:tcW w:w="1467" w:type="dxa"/>
            <w:tcBorders>
              <w:top w:val="single" w:sz="8" w:space="0" w:color="000000"/>
              <w:left w:val="nil"/>
              <w:bottom w:val="nil"/>
              <w:right w:val="nil"/>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Lugar(es) de intervención</w:t>
            </w:r>
          </w:p>
        </w:tc>
        <w:tc>
          <w:tcPr>
            <w:tcW w:w="1572" w:type="dxa"/>
            <w:tcBorders>
              <w:top w:val="single" w:sz="8" w:space="0" w:color="000000"/>
              <w:left w:val="single" w:sz="8" w:space="0" w:color="000000"/>
              <w:bottom w:val="nil"/>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Comunidades beneficiarias</w:t>
            </w:r>
          </w:p>
        </w:tc>
        <w:tc>
          <w:tcPr>
            <w:tcW w:w="1743" w:type="dxa"/>
            <w:tcBorders>
              <w:top w:val="single" w:sz="8" w:space="0" w:color="000000"/>
              <w:left w:val="nil"/>
              <w:bottom w:val="nil"/>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Aliados</w:t>
            </w:r>
          </w:p>
        </w:tc>
      </w:tr>
      <w:tr w:rsidR="008647F7">
        <w:trPr>
          <w:trHeight w:val="443"/>
        </w:trPr>
        <w:tc>
          <w:tcPr>
            <w:tcW w:w="1458" w:type="dxa"/>
            <w:tcBorders>
              <w:top w:val="single" w:sz="8" w:space="0" w:color="000000"/>
              <w:left w:val="single" w:sz="8" w:space="0" w:color="000000"/>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2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394" w:type="dxa"/>
            <w:tcBorders>
              <w:top w:val="single" w:sz="8" w:space="0" w:color="000000"/>
              <w:left w:val="nil"/>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522" w:type="dxa"/>
            <w:tcBorders>
              <w:top w:val="single" w:sz="8" w:space="0" w:color="000000"/>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467" w:type="dxa"/>
            <w:tcBorders>
              <w:top w:val="single" w:sz="8" w:space="0" w:color="000000"/>
              <w:left w:val="nil"/>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572" w:type="dxa"/>
            <w:tcBorders>
              <w:top w:val="single" w:sz="8" w:space="0" w:color="000000"/>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743" w:type="dxa"/>
            <w:tcBorders>
              <w:top w:val="single" w:sz="8" w:space="0" w:color="000000"/>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443"/>
        </w:trPr>
        <w:tc>
          <w:tcPr>
            <w:tcW w:w="1458" w:type="dxa"/>
            <w:tcBorders>
              <w:top w:val="nil"/>
              <w:left w:val="single" w:sz="8" w:space="0" w:color="000000"/>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284"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394" w:type="dxa"/>
            <w:tcBorders>
              <w:top w:val="nil"/>
              <w:left w:val="nil"/>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52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467" w:type="dxa"/>
            <w:tcBorders>
              <w:top w:val="nil"/>
              <w:left w:val="nil"/>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57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743"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443"/>
        </w:trPr>
        <w:tc>
          <w:tcPr>
            <w:tcW w:w="1458" w:type="dxa"/>
            <w:tcBorders>
              <w:top w:val="nil"/>
              <w:left w:val="single" w:sz="8" w:space="0" w:color="000000"/>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284"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394" w:type="dxa"/>
            <w:tcBorders>
              <w:top w:val="nil"/>
              <w:left w:val="nil"/>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52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467" w:type="dxa"/>
            <w:tcBorders>
              <w:top w:val="nil"/>
              <w:left w:val="nil"/>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57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743"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443"/>
        </w:trPr>
        <w:tc>
          <w:tcPr>
            <w:tcW w:w="1458" w:type="dxa"/>
            <w:tcBorders>
              <w:top w:val="nil"/>
              <w:left w:val="single" w:sz="8" w:space="0" w:color="000000"/>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284"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394" w:type="dxa"/>
            <w:tcBorders>
              <w:top w:val="nil"/>
              <w:left w:val="nil"/>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52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467" w:type="dxa"/>
            <w:tcBorders>
              <w:top w:val="nil"/>
              <w:left w:val="nil"/>
              <w:bottom w:val="single" w:sz="8" w:space="0" w:color="000000"/>
              <w:right w:val="nil"/>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57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1743"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bl>
    <w:p w:rsidR="008647F7" w:rsidRDefault="008647F7">
      <w:pPr>
        <w:ind w:left="720"/>
        <w:rPr>
          <w:rFonts w:ascii="Overlock" w:eastAsia="Overlock" w:hAnsi="Overlock" w:cs="Overlock"/>
          <w:sz w:val="24"/>
          <w:szCs w:val="24"/>
        </w:rPr>
      </w:pPr>
      <w:bookmarkStart w:id="3" w:name="_heading=h.gjdgxs" w:colFirst="0" w:colLast="0"/>
      <w:bookmarkEnd w:id="3"/>
    </w:p>
    <w:p w:rsidR="008647F7" w:rsidRDefault="008647F7">
      <w:pPr>
        <w:ind w:left="720"/>
        <w:rPr>
          <w:rFonts w:ascii="Overlock" w:eastAsia="Overlock" w:hAnsi="Overlock" w:cs="Overlock"/>
          <w:sz w:val="24"/>
          <w:szCs w:val="24"/>
        </w:rPr>
      </w:pPr>
    </w:p>
    <w:p w:rsidR="008647F7" w:rsidRDefault="008647F7">
      <w:pPr>
        <w:ind w:left="720"/>
        <w:rPr>
          <w:rFonts w:ascii="Overlock" w:eastAsia="Overlock" w:hAnsi="Overlock" w:cs="Overlock"/>
          <w:sz w:val="24"/>
          <w:szCs w:val="24"/>
        </w:rPr>
      </w:pPr>
    </w:p>
    <w:p w:rsidR="008647F7" w:rsidRDefault="008647F7">
      <w:pPr>
        <w:ind w:left="720"/>
        <w:rPr>
          <w:rFonts w:ascii="Overlock" w:eastAsia="Overlock" w:hAnsi="Overlock" w:cs="Overlock"/>
          <w:sz w:val="24"/>
          <w:szCs w:val="24"/>
        </w:rPr>
      </w:pPr>
    </w:p>
    <w:p w:rsidR="008647F7" w:rsidRDefault="008647F7">
      <w:pPr>
        <w:ind w:left="720"/>
        <w:rPr>
          <w:rFonts w:ascii="Overlock" w:eastAsia="Overlock" w:hAnsi="Overlock" w:cs="Overlock"/>
          <w:sz w:val="24"/>
          <w:szCs w:val="24"/>
        </w:rPr>
      </w:pPr>
    </w:p>
    <w:p w:rsidR="008647F7" w:rsidRDefault="008647F7">
      <w:pPr>
        <w:ind w:left="720"/>
        <w:rPr>
          <w:rFonts w:ascii="Overlock" w:eastAsia="Overlock" w:hAnsi="Overlock" w:cs="Overlock"/>
          <w:sz w:val="24"/>
          <w:szCs w:val="24"/>
        </w:rPr>
      </w:pPr>
    </w:p>
    <w:p w:rsidR="008647F7" w:rsidRDefault="002251EA">
      <w:pPr>
        <w:numPr>
          <w:ilvl w:val="0"/>
          <w:numId w:val="3"/>
        </w:numPr>
        <w:rPr>
          <w:rFonts w:ascii="Overlock" w:eastAsia="Overlock" w:hAnsi="Overlock" w:cs="Overlock"/>
          <w:sz w:val="24"/>
          <w:szCs w:val="24"/>
        </w:rPr>
      </w:pPr>
      <w:r>
        <w:rPr>
          <w:rFonts w:ascii="Overlock" w:eastAsia="Overlock" w:hAnsi="Overlock" w:cs="Overlock"/>
          <w:sz w:val="24"/>
          <w:szCs w:val="24"/>
        </w:rPr>
        <w:t xml:space="preserve">Recursos físicos y tecnológicos con los que cuenta (entidad facilitadora y/ o en alianza (mencionar el aliado) </w:t>
      </w:r>
    </w:p>
    <w:p w:rsidR="008647F7" w:rsidRDefault="008647F7"/>
    <w:tbl>
      <w:tblPr>
        <w:tblStyle w:val="ab"/>
        <w:tblW w:w="8440" w:type="dxa"/>
        <w:jc w:val="center"/>
        <w:tblInd w:w="0" w:type="dxa"/>
        <w:tblLayout w:type="fixed"/>
        <w:tblLook w:val="0400" w:firstRow="0" w:lastRow="0" w:firstColumn="0" w:lastColumn="0" w:noHBand="0" w:noVBand="1"/>
      </w:tblPr>
      <w:tblGrid>
        <w:gridCol w:w="2500"/>
        <w:gridCol w:w="2680"/>
        <w:gridCol w:w="3260"/>
      </w:tblGrid>
      <w:tr w:rsidR="008647F7">
        <w:trPr>
          <w:trHeight w:val="324"/>
          <w:jc w:val="center"/>
        </w:trPr>
        <w:tc>
          <w:tcPr>
            <w:tcW w:w="2500"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Tipo de recurso</w:t>
            </w:r>
          </w:p>
        </w:tc>
        <w:tc>
          <w:tcPr>
            <w:tcW w:w="2680"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Nombre del aliado</w:t>
            </w:r>
          </w:p>
        </w:tc>
        <w:tc>
          <w:tcPr>
            <w:tcW w:w="3260"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Tipo de alianza</w:t>
            </w:r>
          </w:p>
        </w:tc>
      </w:tr>
      <w:tr w:rsidR="008647F7">
        <w:trPr>
          <w:trHeight w:val="324"/>
          <w:jc w:val="center"/>
        </w:trPr>
        <w:tc>
          <w:tcPr>
            <w:tcW w:w="2500"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rPr>
            </w:pPr>
            <w:r>
              <w:rPr>
                <w:rFonts w:ascii="Overlock" w:eastAsia="Overlock" w:hAnsi="Overlock" w:cs="Overlock"/>
                <w:color w:val="000000"/>
              </w:rPr>
              <w:t> Instalaciones físicas (aulas, auditorios, laboratorios, granjas)</w:t>
            </w:r>
          </w:p>
        </w:tc>
        <w:tc>
          <w:tcPr>
            <w:tcW w:w="268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rPr>
            </w:pPr>
            <w:r>
              <w:rPr>
                <w:rFonts w:ascii="Overlock" w:eastAsia="Overlock" w:hAnsi="Overlock" w:cs="Overlock"/>
                <w:color w:val="000000"/>
              </w:rPr>
              <w:t> UNISARC</w:t>
            </w:r>
          </w:p>
        </w:tc>
        <w:tc>
          <w:tcPr>
            <w:tcW w:w="326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rPr>
            </w:pPr>
            <w:r>
              <w:rPr>
                <w:rFonts w:ascii="Overlock" w:eastAsia="Overlock" w:hAnsi="Overlock" w:cs="Overlock"/>
                <w:color w:val="000000"/>
              </w:rPr>
              <w:t> Vinculación mediante proyectos</w:t>
            </w:r>
          </w:p>
        </w:tc>
      </w:tr>
      <w:tr w:rsidR="008647F7">
        <w:trPr>
          <w:trHeight w:val="324"/>
          <w:jc w:val="center"/>
        </w:trPr>
        <w:tc>
          <w:tcPr>
            <w:tcW w:w="2500"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68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326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324"/>
          <w:jc w:val="center"/>
        </w:trPr>
        <w:tc>
          <w:tcPr>
            <w:tcW w:w="2500"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68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326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324"/>
          <w:jc w:val="center"/>
        </w:trPr>
        <w:tc>
          <w:tcPr>
            <w:tcW w:w="2500"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68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326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bl>
    <w:p w:rsidR="008647F7" w:rsidRDefault="008647F7">
      <w:pPr>
        <w:rPr>
          <w:rFonts w:ascii="Overlock" w:eastAsia="Overlock" w:hAnsi="Overlock" w:cs="Overlock"/>
          <w:sz w:val="24"/>
          <w:szCs w:val="24"/>
        </w:rPr>
      </w:pPr>
    </w:p>
    <w:p w:rsidR="008647F7" w:rsidRDefault="002251EA">
      <w:pPr>
        <w:numPr>
          <w:ilvl w:val="0"/>
          <w:numId w:val="3"/>
        </w:numPr>
        <w:spacing w:before="280"/>
        <w:ind w:left="700" w:right="-57"/>
        <w:rPr>
          <w:rFonts w:ascii="Overlock" w:eastAsia="Overlock" w:hAnsi="Overlock" w:cs="Overlock"/>
          <w:sz w:val="24"/>
          <w:szCs w:val="24"/>
        </w:rPr>
      </w:pPr>
      <w:r>
        <w:rPr>
          <w:rFonts w:ascii="Overlock" w:eastAsia="Overlock" w:hAnsi="Overlock" w:cs="Overlock"/>
          <w:sz w:val="24"/>
          <w:szCs w:val="24"/>
        </w:rPr>
        <w:t>¿Qué servicios, programas o instrumentos para fomento al emprendimiento de base tecnológica y/ o social, desarrollo tecnológico e innovación se han generado o apropiado como parte de la oferta del nodo?:</w:t>
      </w:r>
    </w:p>
    <w:p w:rsidR="008647F7" w:rsidRDefault="002251EA">
      <w:pPr>
        <w:spacing w:before="280"/>
        <w:ind w:left="700" w:right="-57"/>
        <w:rPr>
          <w:rFonts w:ascii="Overlock" w:eastAsia="Overlock" w:hAnsi="Overlock" w:cs="Overlock"/>
          <w:sz w:val="24"/>
          <w:szCs w:val="24"/>
        </w:rPr>
      </w:pPr>
      <w:r>
        <w:rPr>
          <w:rFonts w:ascii="Overlock" w:eastAsia="Overlock" w:hAnsi="Overlock" w:cs="Overlock"/>
          <w:sz w:val="24"/>
          <w:szCs w:val="24"/>
        </w:rPr>
        <w:t>Se han acompañado emprendedores y pymes vinculados al programa “Hecho en Pereira” mediante asesoría en BPM, perfil sanitario, control de calidad, apoyo en obtención de Registro Invima y Código de Barras.</w:t>
      </w:r>
    </w:p>
    <w:p w:rsidR="008647F7" w:rsidRDefault="008647F7">
      <w:pPr>
        <w:rPr>
          <w:rFonts w:ascii="Overlock" w:eastAsia="Overlock" w:hAnsi="Overlock" w:cs="Overlock"/>
          <w:sz w:val="24"/>
          <w:szCs w:val="24"/>
        </w:rPr>
      </w:pPr>
    </w:p>
    <w:p w:rsidR="008647F7" w:rsidRDefault="002251EA">
      <w:pPr>
        <w:numPr>
          <w:ilvl w:val="0"/>
          <w:numId w:val="3"/>
        </w:numPr>
        <w:rPr>
          <w:rFonts w:ascii="Overlock" w:eastAsia="Overlock" w:hAnsi="Overlock" w:cs="Overlock"/>
          <w:sz w:val="24"/>
          <w:szCs w:val="24"/>
        </w:rPr>
      </w:pPr>
      <w:r>
        <w:rPr>
          <w:rFonts w:ascii="Overlock" w:eastAsia="Overlock" w:hAnsi="Overlock" w:cs="Overlock"/>
          <w:sz w:val="24"/>
          <w:szCs w:val="24"/>
        </w:rPr>
        <w:t>Menciones cómo evalúa el desempeño del nodo</w:t>
      </w:r>
    </w:p>
    <w:p w:rsidR="008647F7" w:rsidRDefault="008647F7">
      <w:pPr>
        <w:ind w:left="720"/>
        <w:rPr>
          <w:rFonts w:ascii="Overlock" w:eastAsia="Overlock" w:hAnsi="Overlock" w:cs="Overlock"/>
          <w:sz w:val="24"/>
          <w:szCs w:val="24"/>
        </w:rPr>
      </w:pPr>
    </w:p>
    <w:p w:rsidR="008647F7" w:rsidRDefault="002251EA">
      <w:pPr>
        <w:numPr>
          <w:ilvl w:val="0"/>
          <w:numId w:val="3"/>
        </w:numPr>
        <w:rPr>
          <w:rFonts w:ascii="Overlock" w:eastAsia="Overlock" w:hAnsi="Overlock" w:cs="Overlock"/>
          <w:sz w:val="24"/>
          <w:szCs w:val="24"/>
        </w:rPr>
      </w:pPr>
      <w:r>
        <w:rPr>
          <w:rFonts w:ascii="Overlock" w:eastAsia="Overlock" w:hAnsi="Overlock" w:cs="Overlock"/>
          <w:sz w:val="24"/>
          <w:szCs w:val="24"/>
        </w:rPr>
        <w:t>Mencione en términos generales quiénes son los beneficiarios (emprendedores, empresarios o comunidades (clústeres o iniciativas de asociatividad), instituciones, investigadores)</w:t>
      </w:r>
    </w:p>
    <w:p w:rsidR="008647F7" w:rsidRDefault="002251EA">
      <w:pPr>
        <w:pBdr>
          <w:top w:val="nil"/>
          <w:left w:val="nil"/>
          <w:bottom w:val="nil"/>
          <w:right w:val="nil"/>
          <w:between w:val="nil"/>
        </w:pBdr>
        <w:spacing w:after="0"/>
        <w:ind w:left="720"/>
        <w:rPr>
          <w:rFonts w:ascii="Overlock" w:eastAsia="Overlock" w:hAnsi="Overlock" w:cs="Overlock"/>
          <w:color w:val="000000"/>
          <w:sz w:val="24"/>
          <w:szCs w:val="24"/>
        </w:rPr>
      </w:pPr>
      <w:r>
        <w:rPr>
          <w:rFonts w:ascii="Overlock" w:eastAsia="Overlock" w:hAnsi="Overlock" w:cs="Overlock"/>
          <w:color w:val="000000"/>
          <w:sz w:val="24"/>
          <w:szCs w:val="24"/>
        </w:rPr>
        <w:t>Los principales beneficiarios del Nodo son los productores agropecuarios del departamento de Risaralda y las pequeñas empresas agroindustriales.</w:t>
      </w:r>
    </w:p>
    <w:p w:rsidR="008647F7" w:rsidRDefault="002251EA">
      <w:pPr>
        <w:pBdr>
          <w:top w:val="nil"/>
          <w:left w:val="nil"/>
          <w:bottom w:val="nil"/>
          <w:right w:val="nil"/>
          <w:between w:val="nil"/>
        </w:pBdr>
        <w:spacing w:before="0"/>
        <w:ind w:left="720"/>
        <w:rPr>
          <w:rFonts w:ascii="Overlock" w:eastAsia="Overlock" w:hAnsi="Overlock" w:cs="Overlock"/>
          <w:color w:val="000000"/>
          <w:sz w:val="24"/>
          <w:szCs w:val="24"/>
        </w:rPr>
      </w:pPr>
      <w:r>
        <w:rPr>
          <w:rFonts w:ascii="Overlock" w:eastAsia="Overlock" w:hAnsi="Overlock" w:cs="Overlock"/>
          <w:color w:val="000000"/>
          <w:sz w:val="24"/>
          <w:szCs w:val="24"/>
        </w:rPr>
        <w:lastRenderedPageBreak/>
        <w:t>Igualmente se han visto beneficiados los investigadores, y por ende los graspos de investigación,</w:t>
      </w:r>
    </w:p>
    <w:p w:rsidR="008647F7" w:rsidRDefault="008647F7">
      <w:pPr>
        <w:ind w:left="720"/>
        <w:rPr>
          <w:rFonts w:ascii="Overlock" w:eastAsia="Overlock" w:hAnsi="Overlock" w:cs="Overlock"/>
          <w:sz w:val="24"/>
          <w:szCs w:val="24"/>
        </w:rPr>
      </w:pPr>
    </w:p>
    <w:p w:rsidR="008647F7" w:rsidRDefault="008647F7">
      <w:pPr>
        <w:rPr>
          <w:rFonts w:ascii="Overlock" w:eastAsia="Overlock" w:hAnsi="Overlock" w:cs="Overlock"/>
          <w:sz w:val="24"/>
          <w:szCs w:val="24"/>
        </w:rPr>
      </w:pPr>
    </w:p>
    <w:p w:rsidR="008647F7" w:rsidRDefault="002251EA">
      <w:pPr>
        <w:numPr>
          <w:ilvl w:val="0"/>
          <w:numId w:val="3"/>
        </w:numPr>
        <w:rPr>
          <w:rFonts w:ascii="Overlock" w:eastAsia="Overlock" w:hAnsi="Overlock" w:cs="Overlock"/>
          <w:sz w:val="24"/>
          <w:szCs w:val="24"/>
        </w:rPr>
      </w:pPr>
      <w:r>
        <w:rPr>
          <w:rFonts w:ascii="Overlock" w:eastAsia="Overlock" w:hAnsi="Overlock" w:cs="Overlock"/>
          <w:sz w:val="24"/>
          <w:szCs w:val="24"/>
        </w:rPr>
        <w:t xml:space="preserve">Qué proyectos o iniciativas logró incluir como </w:t>
      </w:r>
      <w:r>
        <w:rPr>
          <w:rFonts w:ascii="Overlock" w:eastAsia="Overlock" w:hAnsi="Overlock" w:cs="Overlock"/>
          <w:b/>
          <w:sz w:val="24"/>
          <w:szCs w:val="24"/>
        </w:rPr>
        <w:t>NODO</w:t>
      </w:r>
      <w:r>
        <w:rPr>
          <w:rFonts w:ascii="Overlock" w:eastAsia="Overlock" w:hAnsi="Overlock" w:cs="Overlock"/>
          <w:sz w:val="24"/>
          <w:szCs w:val="24"/>
        </w:rPr>
        <w:t xml:space="preserve"> en el ajuste realizado en 2023 en el plan regional de competitividad</w:t>
      </w:r>
    </w:p>
    <w:p w:rsidR="008647F7" w:rsidRDefault="008647F7"/>
    <w:tbl>
      <w:tblPr>
        <w:tblStyle w:val="ac"/>
        <w:tblW w:w="9800" w:type="dxa"/>
        <w:jc w:val="center"/>
        <w:tblInd w:w="0" w:type="dxa"/>
        <w:tblLayout w:type="fixed"/>
        <w:tblLook w:val="0400" w:firstRow="0" w:lastRow="0" w:firstColumn="0" w:lastColumn="0" w:noHBand="0" w:noVBand="1"/>
      </w:tblPr>
      <w:tblGrid>
        <w:gridCol w:w="3380"/>
        <w:gridCol w:w="2840"/>
        <w:gridCol w:w="3580"/>
      </w:tblGrid>
      <w:tr w:rsidR="008647F7">
        <w:trPr>
          <w:trHeight w:val="948"/>
          <w:jc w:val="center"/>
        </w:trPr>
        <w:tc>
          <w:tcPr>
            <w:tcW w:w="3380"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Nombre del proyecto o iniciativa</w:t>
            </w:r>
          </w:p>
        </w:tc>
        <w:tc>
          <w:tcPr>
            <w:tcW w:w="2840"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Sector en el que está incluido</w:t>
            </w:r>
          </w:p>
        </w:tc>
        <w:tc>
          <w:tcPr>
            <w:tcW w:w="3580"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Aliados</w:t>
            </w:r>
          </w:p>
        </w:tc>
      </w:tr>
      <w:tr w:rsidR="008647F7">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Arial" w:eastAsia="Arial" w:hAnsi="Arial" w:cs="Arial"/>
                <w:color w:val="000000"/>
              </w:rPr>
            </w:pPr>
            <w:r>
              <w:rPr>
                <w:rFonts w:ascii="Overlock" w:eastAsia="Overlock" w:hAnsi="Overlock" w:cs="Overlock"/>
                <w:color w:val="000000"/>
                <w:sz w:val="24"/>
                <w:szCs w:val="24"/>
              </w:rPr>
              <w:t> </w:t>
            </w:r>
            <w:r>
              <w:rPr>
                <w:rFonts w:ascii="Arial" w:eastAsia="Arial" w:hAnsi="Arial" w:cs="Arial"/>
                <w:color w:val="000000"/>
              </w:rPr>
              <w:t>Desarrollo de estrategias de investigación, innovación y desarrollo tecnológico para la producción sostenible y resiliente de lulo, mora, plátano, aguacate y cacao en el departamento de Risaralda.</w:t>
            </w:r>
          </w:p>
        </w:tc>
        <w:tc>
          <w:tcPr>
            <w:tcW w:w="284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Agropecuario y Agroindustrial</w:t>
            </w:r>
          </w:p>
        </w:tc>
        <w:tc>
          <w:tcPr>
            <w:tcW w:w="3580"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xml:space="preserve"> CDTA, UNAD </w:t>
            </w:r>
            <w:proofErr w:type="spellStart"/>
            <w:r>
              <w:rPr>
                <w:rFonts w:ascii="Overlock" w:eastAsia="Overlock" w:hAnsi="Overlock" w:cs="Overlock"/>
                <w:color w:val="000000"/>
                <w:sz w:val="24"/>
                <w:szCs w:val="24"/>
              </w:rPr>
              <w:t>Unisarc</w:t>
            </w:r>
            <w:proofErr w:type="spellEnd"/>
            <w:r>
              <w:rPr>
                <w:rFonts w:ascii="Overlock" w:eastAsia="Overlock" w:hAnsi="Overlock" w:cs="Overlock"/>
                <w:color w:val="000000"/>
                <w:sz w:val="24"/>
                <w:szCs w:val="24"/>
              </w:rPr>
              <w:t>, UTP, UNISARC</w:t>
            </w:r>
          </w:p>
        </w:tc>
      </w:tr>
    </w:tbl>
    <w:p w:rsidR="008647F7" w:rsidRDefault="008647F7">
      <w:pPr>
        <w:rPr>
          <w:rFonts w:ascii="Overlock" w:eastAsia="Overlock" w:hAnsi="Overlock" w:cs="Overlock"/>
          <w:sz w:val="24"/>
          <w:szCs w:val="24"/>
        </w:rPr>
      </w:pPr>
    </w:p>
    <w:p w:rsidR="008647F7" w:rsidRDefault="002251EA">
      <w:pPr>
        <w:numPr>
          <w:ilvl w:val="0"/>
          <w:numId w:val="3"/>
        </w:numPr>
        <w:pBdr>
          <w:top w:val="nil"/>
          <w:left w:val="nil"/>
          <w:bottom w:val="nil"/>
          <w:right w:val="nil"/>
          <w:between w:val="nil"/>
        </w:pBdr>
        <w:rPr>
          <w:rFonts w:ascii="Overlock" w:eastAsia="Overlock" w:hAnsi="Overlock" w:cs="Overlock"/>
          <w:color w:val="000000"/>
          <w:sz w:val="24"/>
          <w:szCs w:val="24"/>
        </w:rPr>
      </w:pPr>
      <w:bookmarkStart w:id="4" w:name="_heading=h.1fob9te" w:colFirst="0" w:colLast="0"/>
      <w:bookmarkEnd w:id="4"/>
      <w:r>
        <w:rPr>
          <w:rFonts w:ascii="Overlock" w:eastAsia="Overlock" w:hAnsi="Overlock" w:cs="Overlock"/>
          <w:color w:val="000000"/>
          <w:sz w:val="24"/>
          <w:szCs w:val="24"/>
        </w:rPr>
        <w:t>Menciones a qué sector(es) industrial/económico o social ofrece el nodo valor agregado (logros o en proceso)</w:t>
      </w:r>
    </w:p>
    <w:p w:rsidR="008647F7" w:rsidRDefault="008647F7"/>
    <w:tbl>
      <w:tblPr>
        <w:tblStyle w:val="ad"/>
        <w:tblW w:w="9831" w:type="dxa"/>
        <w:jc w:val="center"/>
        <w:tblInd w:w="0" w:type="dxa"/>
        <w:tblLayout w:type="fixed"/>
        <w:tblLook w:val="0400" w:firstRow="0" w:lastRow="0" w:firstColumn="0" w:lastColumn="0" w:noHBand="0" w:noVBand="1"/>
      </w:tblPr>
      <w:tblGrid>
        <w:gridCol w:w="4082"/>
        <w:gridCol w:w="2947"/>
        <w:gridCol w:w="2802"/>
      </w:tblGrid>
      <w:tr w:rsidR="008647F7">
        <w:trPr>
          <w:trHeight w:val="400"/>
          <w:jc w:val="center"/>
        </w:trPr>
        <w:tc>
          <w:tcPr>
            <w:tcW w:w="4082"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Sector</w:t>
            </w:r>
          </w:p>
        </w:tc>
        <w:tc>
          <w:tcPr>
            <w:tcW w:w="2947"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Logro</w:t>
            </w:r>
          </w:p>
        </w:tc>
        <w:tc>
          <w:tcPr>
            <w:tcW w:w="2802"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Proceso</w:t>
            </w:r>
          </w:p>
        </w:tc>
      </w:tr>
      <w:tr w:rsidR="008647F7">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947"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802"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947"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802"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947"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802"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r w:rsidR="008647F7">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947"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c>
          <w:tcPr>
            <w:tcW w:w="2802"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w:t>
            </w:r>
          </w:p>
        </w:tc>
      </w:tr>
    </w:tbl>
    <w:p w:rsidR="008647F7" w:rsidRDefault="008647F7">
      <w:pPr>
        <w:rPr>
          <w:rFonts w:ascii="Overlock" w:eastAsia="Overlock" w:hAnsi="Overlock" w:cs="Overlock"/>
          <w:sz w:val="24"/>
          <w:szCs w:val="24"/>
        </w:rPr>
      </w:pPr>
    </w:p>
    <w:p w:rsidR="008647F7" w:rsidRDefault="002251EA">
      <w:pPr>
        <w:numPr>
          <w:ilvl w:val="0"/>
          <w:numId w:val="3"/>
        </w:numPr>
        <w:pBdr>
          <w:top w:val="nil"/>
          <w:left w:val="nil"/>
          <w:bottom w:val="nil"/>
          <w:right w:val="nil"/>
          <w:between w:val="nil"/>
        </w:pBdr>
        <w:rPr>
          <w:rFonts w:ascii="Overlock" w:eastAsia="Overlock" w:hAnsi="Overlock" w:cs="Overlock"/>
          <w:color w:val="000000"/>
          <w:sz w:val="24"/>
          <w:szCs w:val="24"/>
        </w:rPr>
      </w:pPr>
      <w:r>
        <w:rPr>
          <w:rFonts w:ascii="Overlock" w:eastAsia="Overlock" w:hAnsi="Overlock" w:cs="Overlock"/>
          <w:color w:val="000000"/>
          <w:sz w:val="24"/>
          <w:szCs w:val="24"/>
        </w:rPr>
        <w:t>En tus proyecciones como nodo, (articulador y generador de capacidades) a qué sector (es) consideras que hay potencial para generar valor agregado justificar.</w:t>
      </w:r>
    </w:p>
    <w:p w:rsidR="008647F7" w:rsidRDefault="008647F7"/>
    <w:tbl>
      <w:tblPr>
        <w:tblStyle w:val="ae"/>
        <w:tblW w:w="9740" w:type="dxa"/>
        <w:jc w:val="center"/>
        <w:tblInd w:w="0" w:type="dxa"/>
        <w:tblLayout w:type="fixed"/>
        <w:tblLook w:val="0400" w:firstRow="0" w:lastRow="0" w:firstColumn="0" w:lastColumn="0" w:noHBand="0" w:noVBand="1"/>
      </w:tblPr>
      <w:tblGrid>
        <w:gridCol w:w="1778"/>
        <w:gridCol w:w="7962"/>
      </w:tblGrid>
      <w:tr w:rsidR="008647F7">
        <w:trPr>
          <w:trHeight w:val="649"/>
          <w:jc w:val="center"/>
        </w:trPr>
        <w:tc>
          <w:tcPr>
            <w:tcW w:w="1778" w:type="dxa"/>
            <w:tcBorders>
              <w:top w:val="single" w:sz="8" w:space="0" w:color="000000"/>
              <w:left w:val="single" w:sz="8" w:space="0" w:color="000000"/>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Sector</w:t>
            </w:r>
          </w:p>
        </w:tc>
        <w:tc>
          <w:tcPr>
            <w:tcW w:w="7962" w:type="dxa"/>
            <w:tcBorders>
              <w:top w:val="single" w:sz="8" w:space="0" w:color="000000"/>
              <w:left w:val="nil"/>
              <w:bottom w:val="single" w:sz="8" w:space="0" w:color="000000"/>
              <w:right w:val="single" w:sz="8" w:space="0" w:color="000000"/>
            </w:tcBorders>
            <w:shd w:val="clear" w:color="auto" w:fill="BFBFBF"/>
            <w:vAlign w:val="center"/>
          </w:tcPr>
          <w:p w:rsidR="008647F7" w:rsidRDefault="002251EA">
            <w:pPr>
              <w:spacing w:after="0"/>
              <w:jc w:val="center"/>
              <w:rPr>
                <w:rFonts w:ascii="Overlock" w:eastAsia="Overlock" w:hAnsi="Overlock" w:cs="Overlock"/>
                <w:b/>
                <w:color w:val="000000"/>
                <w:sz w:val="24"/>
                <w:szCs w:val="24"/>
              </w:rPr>
            </w:pPr>
            <w:r>
              <w:rPr>
                <w:rFonts w:ascii="Overlock" w:eastAsia="Overlock" w:hAnsi="Overlock" w:cs="Overlock"/>
                <w:b/>
                <w:color w:val="000000"/>
                <w:sz w:val="24"/>
                <w:szCs w:val="24"/>
              </w:rPr>
              <w:t>Justificación</w:t>
            </w:r>
          </w:p>
        </w:tc>
      </w:tr>
      <w:tr w:rsidR="008647F7">
        <w:trPr>
          <w:trHeight w:val="372"/>
          <w:jc w:val="center"/>
        </w:trPr>
        <w:tc>
          <w:tcPr>
            <w:tcW w:w="1778"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lastRenderedPageBreak/>
              <w:t> Biotecnología</w:t>
            </w:r>
          </w:p>
        </w:tc>
        <w:tc>
          <w:tcPr>
            <w:tcW w:w="7962"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Materia prima con características requeridas en procesos biotecnológicos</w:t>
            </w:r>
          </w:p>
        </w:tc>
      </w:tr>
      <w:tr w:rsidR="008647F7">
        <w:trPr>
          <w:trHeight w:val="372"/>
          <w:jc w:val="center"/>
        </w:trPr>
        <w:tc>
          <w:tcPr>
            <w:tcW w:w="1778"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Metalmecánica</w:t>
            </w:r>
          </w:p>
        </w:tc>
        <w:tc>
          <w:tcPr>
            <w:tcW w:w="7962"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Demanda de tecnologías</w:t>
            </w:r>
          </w:p>
        </w:tc>
      </w:tr>
      <w:tr w:rsidR="008647F7">
        <w:trPr>
          <w:trHeight w:val="372"/>
          <w:jc w:val="center"/>
        </w:trPr>
        <w:tc>
          <w:tcPr>
            <w:tcW w:w="1778"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Comercio</w:t>
            </w:r>
          </w:p>
        </w:tc>
        <w:tc>
          <w:tcPr>
            <w:tcW w:w="7962"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Productos a comercializar</w:t>
            </w:r>
          </w:p>
        </w:tc>
      </w:tr>
      <w:tr w:rsidR="008647F7">
        <w:trPr>
          <w:trHeight w:val="372"/>
          <w:jc w:val="center"/>
        </w:trPr>
        <w:tc>
          <w:tcPr>
            <w:tcW w:w="1778" w:type="dxa"/>
            <w:tcBorders>
              <w:top w:val="nil"/>
              <w:left w:val="single" w:sz="8" w:space="0" w:color="000000"/>
              <w:bottom w:val="nil"/>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Salud</w:t>
            </w:r>
          </w:p>
        </w:tc>
        <w:tc>
          <w:tcPr>
            <w:tcW w:w="7962" w:type="dxa"/>
            <w:tcBorders>
              <w:top w:val="nil"/>
              <w:left w:val="nil"/>
              <w:bottom w:val="nil"/>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 Insumos para terapias y tratamientos</w:t>
            </w:r>
          </w:p>
        </w:tc>
      </w:tr>
      <w:tr w:rsidR="008647F7">
        <w:trPr>
          <w:trHeight w:val="372"/>
          <w:jc w:val="center"/>
        </w:trPr>
        <w:tc>
          <w:tcPr>
            <w:tcW w:w="1778" w:type="dxa"/>
            <w:tcBorders>
              <w:top w:val="nil"/>
              <w:left w:val="single" w:sz="8" w:space="0" w:color="000000"/>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Turismo</w:t>
            </w:r>
          </w:p>
        </w:tc>
        <w:tc>
          <w:tcPr>
            <w:tcW w:w="7962" w:type="dxa"/>
            <w:tcBorders>
              <w:top w:val="nil"/>
              <w:left w:val="nil"/>
              <w:bottom w:val="single" w:sz="8" w:space="0" w:color="000000"/>
              <w:right w:val="single" w:sz="8" w:space="0" w:color="000000"/>
            </w:tcBorders>
            <w:shd w:val="clear" w:color="auto" w:fill="auto"/>
            <w:vAlign w:val="center"/>
          </w:tcPr>
          <w:p w:rsidR="008647F7" w:rsidRDefault="002251EA">
            <w:pPr>
              <w:spacing w:after="0"/>
              <w:rPr>
                <w:rFonts w:ascii="Overlock" w:eastAsia="Overlock" w:hAnsi="Overlock" w:cs="Overlock"/>
                <w:color w:val="000000"/>
                <w:sz w:val="24"/>
                <w:szCs w:val="24"/>
              </w:rPr>
            </w:pPr>
            <w:r>
              <w:rPr>
                <w:rFonts w:ascii="Overlock" w:eastAsia="Overlock" w:hAnsi="Overlock" w:cs="Overlock"/>
                <w:color w:val="000000"/>
                <w:sz w:val="24"/>
                <w:szCs w:val="24"/>
              </w:rPr>
              <w:t>Procesos agroindustriales de interés turística</w:t>
            </w:r>
          </w:p>
        </w:tc>
      </w:tr>
    </w:tbl>
    <w:p w:rsidR="008647F7" w:rsidRDefault="008647F7">
      <w:pPr>
        <w:rPr>
          <w:rFonts w:ascii="Overlock" w:eastAsia="Overlock" w:hAnsi="Overlock" w:cs="Overlock"/>
          <w:sz w:val="24"/>
          <w:szCs w:val="24"/>
        </w:rPr>
      </w:pPr>
    </w:p>
    <w:p w:rsidR="008647F7" w:rsidRDefault="002251EA">
      <w:pPr>
        <w:rPr>
          <w:rFonts w:ascii="Overlock" w:eastAsia="Overlock" w:hAnsi="Overlock" w:cs="Overlock"/>
          <w:sz w:val="24"/>
          <w:szCs w:val="24"/>
        </w:rPr>
      </w:pPr>
      <w:r>
        <w:rPr>
          <w:rFonts w:ascii="Overlock" w:eastAsia="Overlock" w:hAnsi="Overlock" w:cs="Overlock"/>
          <w:sz w:val="24"/>
          <w:szCs w:val="24"/>
        </w:rPr>
        <w:t>16. Qué otro nodo está ofreciendo un valor agregado a su nodo.</w:t>
      </w:r>
    </w:p>
    <w:p w:rsidR="008647F7" w:rsidRDefault="002251EA">
      <w:pPr>
        <w:rPr>
          <w:rFonts w:ascii="Overlock" w:eastAsia="Overlock" w:hAnsi="Overlock" w:cs="Overlock"/>
          <w:sz w:val="24"/>
          <w:szCs w:val="24"/>
        </w:rPr>
      </w:pPr>
      <w:r>
        <w:rPr>
          <w:rFonts w:ascii="Overlock" w:eastAsia="Overlock" w:hAnsi="Overlock" w:cs="Overlock"/>
          <w:sz w:val="24"/>
          <w:szCs w:val="24"/>
        </w:rPr>
        <w:t>Biotecnología, Biodiversidad, Metalmecánica</w:t>
      </w:r>
    </w:p>
    <w:p w:rsidR="008647F7" w:rsidRDefault="008647F7">
      <w:pPr>
        <w:rPr>
          <w:rFonts w:ascii="Overlock" w:eastAsia="Overlock" w:hAnsi="Overlock" w:cs="Overlock"/>
          <w:sz w:val="24"/>
          <w:szCs w:val="24"/>
        </w:rPr>
      </w:pPr>
    </w:p>
    <w:p w:rsidR="008647F7" w:rsidRDefault="002251EA">
      <w:pPr>
        <w:numPr>
          <w:ilvl w:val="0"/>
          <w:numId w:val="2"/>
        </w:numPr>
        <w:pBdr>
          <w:top w:val="nil"/>
          <w:left w:val="nil"/>
          <w:bottom w:val="nil"/>
          <w:right w:val="nil"/>
          <w:between w:val="nil"/>
        </w:pBdr>
        <w:spacing w:after="0"/>
        <w:rPr>
          <w:rFonts w:ascii="Overlock" w:eastAsia="Overlock" w:hAnsi="Overlock" w:cs="Overlock"/>
          <w:color w:val="000000"/>
          <w:sz w:val="24"/>
          <w:szCs w:val="24"/>
        </w:rPr>
      </w:pPr>
      <w:r>
        <w:rPr>
          <w:rFonts w:ascii="Overlock" w:eastAsia="Overlock" w:hAnsi="Overlock" w:cs="Overlock"/>
          <w:color w:val="000000"/>
          <w:sz w:val="24"/>
          <w:szCs w:val="24"/>
        </w:rPr>
        <w:t>Acorde a los retos que tiene la Red de Nodos, cuáles sería el rol de la Secretaría técnica y que sugiere para mejorar la gobernanza, ganar confianza y potencializar la Red</w:t>
      </w:r>
    </w:p>
    <w:p w:rsidR="008647F7" w:rsidRDefault="008647F7">
      <w:pPr>
        <w:pBdr>
          <w:top w:val="nil"/>
          <w:left w:val="nil"/>
          <w:bottom w:val="nil"/>
          <w:right w:val="nil"/>
          <w:between w:val="nil"/>
        </w:pBdr>
        <w:spacing w:before="0" w:after="0"/>
        <w:ind w:left="720"/>
        <w:rPr>
          <w:rFonts w:ascii="Overlock" w:eastAsia="Overlock" w:hAnsi="Overlock" w:cs="Overlock"/>
          <w:color w:val="000000"/>
          <w:sz w:val="24"/>
          <w:szCs w:val="24"/>
        </w:rPr>
      </w:pPr>
    </w:p>
    <w:p w:rsidR="008647F7" w:rsidRDefault="002251EA">
      <w:pPr>
        <w:numPr>
          <w:ilvl w:val="0"/>
          <w:numId w:val="2"/>
        </w:numPr>
        <w:pBdr>
          <w:top w:val="nil"/>
          <w:left w:val="nil"/>
          <w:bottom w:val="nil"/>
          <w:right w:val="nil"/>
          <w:between w:val="nil"/>
        </w:pBdr>
        <w:spacing w:before="0" w:after="0"/>
        <w:rPr>
          <w:rFonts w:ascii="Overlock" w:eastAsia="Overlock" w:hAnsi="Overlock" w:cs="Overlock"/>
          <w:color w:val="000000"/>
          <w:sz w:val="24"/>
          <w:szCs w:val="24"/>
        </w:rPr>
      </w:pPr>
      <w:r>
        <w:rPr>
          <w:rFonts w:ascii="Overlock" w:eastAsia="Overlock" w:hAnsi="Overlock" w:cs="Overlock"/>
          <w:color w:val="000000"/>
          <w:sz w:val="24"/>
          <w:szCs w:val="24"/>
        </w:rPr>
        <w:t>Cómo sueña el Nodo en una situación ideal de capacidades para brindar servicios al sector económico y la sociedad, Qué logros desearía alcanzar para evidenciar la utilidad del Nodo para su principal grupo de interés.</w:t>
      </w:r>
    </w:p>
    <w:p w:rsidR="008647F7" w:rsidRDefault="008647F7">
      <w:pPr>
        <w:pBdr>
          <w:top w:val="nil"/>
          <w:left w:val="nil"/>
          <w:bottom w:val="nil"/>
          <w:right w:val="nil"/>
          <w:between w:val="nil"/>
        </w:pBdr>
        <w:spacing w:before="0" w:after="0"/>
        <w:ind w:left="720"/>
        <w:rPr>
          <w:rFonts w:ascii="Overlock" w:eastAsia="Overlock" w:hAnsi="Overlock" w:cs="Overlock"/>
          <w:color w:val="000000"/>
          <w:sz w:val="24"/>
          <w:szCs w:val="24"/>
        </w:rPr>
      </w:pPr>
    </w:p>
    <w:p w:rsidR="008647F7" w:rsidRDefault="002251EA">
      <w:pPr>
        <w:numPr>
          <w:ilvl w:val="0"/>
          <w:numId w:val="2"/>
        </w:numPr>
        <w:pBdr>
          <w:top w:val="nil"/>
          <w:left w:val="nil"/>
          <w:bottom w:val="nil"/>
          <w:right w:val="nil"/>
          <w:between w:val="nil"/>
        </w:pBdr>
        <w:spacing w:before="0"/>
        <w:rPr>
          <w:rFonts w:ascii="Overlock" w:eastAsia="Overlock" w:hAnsi="Overlock" w:cs="Overlock"/>
          <w:color w:val="000000"/>
          <w:sz w:val="24"/>
          <w:szCs w:val="24"/>
        </w:rPr>
      </w:pPr>
      <w:r>
        <w:rPr>
          <w:rFonts w:ascii="Overlock" w:eastAsia="Overlock" w:hAnsi="Overlock" w:cs="Overlock"/>
          <w:color w:val="000000"/>
          <w:sz w:val="24"/>
          <w:szCs w:val="24"/>
        </w:rPr>
        <w:t>¿Qué estaría dispuesto a hacer para que esa expectativa se cumpla?</w:t>
      </w:r>
    </w:p>
    <w:p w:rsidR="008647F7" w:rsidRDefault="008647F7">
      <w:pPr>
        <w:rPr>
          <w:rFonts w:ascii="Overlock" w:eastAsia="Overlock" w:hAnsi="Overlock" w:cs="Overlock"/>
          <w:sz w:val="24"/>
          <w:szCs w:val="24"/>
        </w:rPr>
      </w:pPr>
    </w:p>
    <w:p w:rsidR="008647F7" w:rsidRDefault="008647F7">
      <w:pPr>
        <w:rPr>
          <w:rFonts w:ascii="Overlock" w:eastAsia="Overlock" w:hAnsi="Overlock" w:cs="Overlock"/>
          <w:sz w:val="24"/>
          <w:szCs w:val="24"/>
        </w:rPr>
      </w:pPr>
    </w:p>
    <w:p w:rsidR="008647F7" w:rsidRDefault="008647F7">
      <w:pPr>
        <w:rPr>
          <w:rFonts w:ascii="Overlock" w:eastAsia="Overlock" w:hAnsi="Overlock" w:cs="Overlock"/>
          <w:sz w:val="24"/>
          <w:szCs w:val="24"/>
        </w:rPr>
      </w:pPr>
    </w:p>
    <w:sectPr w:rsidR="008647F7">
      <w:headerReference w:type="default" r:id="rId8"/>
      <w:footerReference w:type="default" r:id="rId9"/>
      <w:pgSz w:w="12240" w:h="15840"/>
      <w:pgMar w:top="1701" w:right="1134" w:bottom="1134" w:left="1701" w:header="709"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3FF8" w:rsidRDefault="001A3FF8">
      <w:pPr>
        <w:spacing w:before="0" w:after="0"/>
      </w:pPr>
      <w:r>
        <w:separator/>
      </w:r>
    </w:p>
  </w:endnote>
  <w:endnote w:type="continuationSeparator" w:id="0">
    <w:p w:rsidR="001A3FF8" w:rsidRDefault="001A3FF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verlock">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47F7" w:rsidRDefault="008647F7">
    <w:pPr>
      <w:pBdr>
        <w:top w:val="nil"/>
        <w:left w:val="nil"/>
        <w:bottom w:val="nil"/>
        <w:right w:val="nil"/>
        <w:between w:val="nil"/>
      </w:pBdr>
      <w:tabs>
        <w:tab w:val="center" w:pos="4419"/>
        <w:tab w:val="right" w:pos="8838"/>
      </w:tabs>
      <w:spacing w:after="0"/>
      <w:jc w:val="right"/>
      <w:rPr>
        <w:color w:val="000000"/>
      </w:rPr>
    </w:pPr>
  </w:p>
  <w:p w:rsidR="008647F7" w:rsidRDefault="008647F7">
    <w:pPr>
      <w:pBdr>
        <w:top w:val="nil"/>
        <w:left w:val="nil"/>
        <w:bottom w:val="nil"/>
        <w:right w:val="nil"/>
        <w:between w:val="nil"/>
      </w:pBdr>
      <w:tabs>
        <w:tab w:val="center" w:pos="4419"/>
        <w:tab w:val="right" w:pos="8838"/>
      </w:tabs>
      <w:spacing w:after="0"/>
      <w:jc w:val="right"/>
      <w:rPr>
        <w:color w:val="000000"/>
      </w:rPr>
    </w:pPr>
  </w:p>
  <w:p w:rsidR="008647F7" w:rsidRDefault="008647F7">
    <w:pPr>
      <w:pBdr>
        <w:top w:val="nil"/>
        <w:left w:val="nil"/>
        <w:bottom w:val="nil"/>
        <w:right w:val="nil"/>
        <w:between w:val="nil"/>
      </w:pBdr>
      <w:tabs>
        <w:tab w:val="center" w:pos="4419"/>
        <w:tab w:val="right" w:pos="8838"/>
      </w:tabs>
      <w:spacing w:after="0"/>
      <w:jc w:val="right"/>
      <w:rPr>
        <w:color w:val="000000"/>
      </w:rPr>
    </w:pPr>
  </w:p>
  <w:p w:rsidR="008647F7" w:rsidRDefault="008647F7">
    <w:pPr>
      <w:pBdr>
        <w:top w:val="nil"/>
        <w:left w:val="nil"/>
        <w:bottom w:val="nil"/>
        <w:right w:val="nil"/>
        <w:between w:val="nil"/>
      </w:pBdr>
      <w:tabs>
        <w:tab w:val="center" w:pos="4419"/>
        <w:tab w:val="right" w:pos="8838"/>
      </w:tabs>
      <w:spacing w:after="0"/>
      <w:jc w:val="righ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3FF8" w:rsidRDefault="001A3FF8">
      <w:pPr>
        <w:spacing w:before="0" w:after="0"/>
      </w:pPr>
      <w:r>
        <w:separator/>
      </w:r>
    </w:p>
  </w:footnote>
  <w:footnote w:type="continuationSeparator" w:id="0">
    <w:p w:rsidR="001A3FF8" w:rsidRDefault="001A3FF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47F7" w:rsidRDefault="00F97F3C">
    <w:pPr>
      <w:pBdr>
        <w:top w:val="nil"/>
        <w:left w:val="nil"/>
        <w:bottom w:val="nil"/>
        <w:right w:val="nil"/>
        <w:between w:val="nil"/>
      </w:pBdr>
      <w:tabs>
        <w:tab w:val="center" w:pos="4419"/>
        <w:tab w:val="right" w:pos="8838"/>
      </w:tabs>
      <w:spacing w:after="0"/>
      <w:rPr>
        <w:color w:val="000000"/>
      </w:rPr>
    </w:pPr>
    <w:r>
      <w:rPr>
        <w:noProof/>
      </w:rPr>
      <w:drawing>
        <wp:anchor distT="0" distB="0" distL="114300" distR="114300" simplePos="0" relativeHeight="251659264" behindDoc="1" locked="0" layoutInCell="1" allowOverlap="1" wp14:anchorId="0A70DDBC" wp14:editId="26F71B70">
          <wp:simplePos x="0" y="0"/>
          <wp:positionH relativeFrom="margin">
            <wp:posOffset>-676275</wp:posOffset>
          </wp:positionH>
          <wp:positionV relativeFrom="paragraph">
            <wp:posOffset>-76835</wp:posOffset>
          </wp:positionV>
          <wp:extent cx="1123950" cy="552418"/>
          <wp:effectExtent l="0" t="0" r="0"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3950" cy="55241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B6E96"/>
    <w:multiLevelType w:val="multilevel"/>
    <w:tmpl w:val="5C76A438"/>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461AB2"/>
    <w:multiLevelType w:val="multilevel"/>
    <w:tmpl w:val="96966C58"/>
    <w:lvl w:ilvl="0">
      <w:start w:val="1"/>
      <w:numFmt w:val="decimal"/>
      <w:lvlText w:val="%1."/>
      <w:lvlJc w:val="left"/>
      <w:pPr>
        <w:ind w:left="720" w:hanging="360"/>
      </w:pPr>
      <w:rPr>
        <w:rFonts w:ascii="Calibri" w:eastAsia="Calibri" w:hAnsi="Calibri" w:cs="Calibri"/>
        <w:b w:val="0"/>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1DB7209A"/>
    <w:multiLevelType w:val="multilevel"/>
    <w:tmpl w:val="FB94FD54"/>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CFF1390"/>
    <w:multiLevelType w:val="multilevel"/>
    <w:tmpl w:val="51B89824"/>
    <w:lvl w:ilvl="0">
      <w:start w:val="17"/>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7BFC43D0"/>
    <w:multiLevelType w:val="multilevel"/>
    <w:tmpl w:val="ACC695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7F7"/>
    <w:rsid w:val="001A3FF8"/>
    <w:rsid w:val="002251EA"/>
    <w:rsid w:val="006C3A46"/>
    <w:rsid w:val="008647F7"/>
    <w:rsid w:val="00F97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573877-87B4-4DF8-B4C5-642C8849C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CO" w:eastAsia="en-US" w:bidi="ar-SA"/>
      </w:rPr>
    </w:rPrDefault>
    <w:pPrDefault>
      <w:pPr>
        <w:spacing w:before="120" w:after="12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B0854"/>
  </w:style>
  <w:style w:type="paragraph" w:styleId="Ttulo1">
    <w:name w:val="heading 1"/>
    <w:basedOn w:val="Normal"/>
    <w:next w:val="Normal"/>
    <w:uiPriority w:val="9"/>
    <w:qFormat/>
    <w:pPr>
      <w:keepNext/>
      <w:keepLines/>
      <w:spacing w:before="48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rrafodelista">
    <w:name w:val="List Paragraph"/>
    <w:basedOn w:val="Normal"/>
    <w:uiPriority w:val="34"/>
    <w:qFormat/>
    <w:rsid w:val="003B0BE0"/>
    <w:pPr>
      <w:ind w:left="720"/>
      <w:contextualSpacing/>
    </w:pPr>
  </w:style>
  <w:style w:type="table" w:styleId="Tablaconcuadrcula">
    <w:name w:val="Table Grid"/>
    <w:basedOn w:val="Tablanormal"/>
    <w:uiPriority w:val="39"/>
    <w:rsid w:val="003B0BE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pPr>
    <w:tblPr>
      <w:tblStyleRowBandSize w:val="1"/>
      <w:tblStyleColBandSize w:val="1"/>
      <w:tblCellMar>
        <w:left w:w="108" w:type="dxa"/>
        <w:right w:w="108" w:type="dxa"/>
      </w:tblCellMar>
    </w:tblPr>
  </w:style>
  <w:style w:type="table" w:customStyle="1" w:styleId="a0">
    <w:basedOn w:val="TableNormal0"/>
    <w:pPr>
      <w:spacing w:after="0"/>
    </w:pPr>
    <w:tblPr>
      <w:tblStyleRowBandSize w:val="1"/>
      <w:tblStyleColBandSize w:val="1"/>
      <w:tblCellMar>
        <w:left w:w="108" w:type="dxa"/>
        <w:right w:w="108" w:type="dxa"/>
      </w:tblCellMar>
    </w:tblPr>
  </w:style>
  <w:style w:type="table" w:customStyle="1" w:styleId="a1">
    <w:basedOn w:val="TableNormal0"/>
    <w:pPr>
      <w:spacing w:after="0"/>
    </w:pPr>
    <w:tblPr>
      <w:tblStyleRowBandSize w:val="1"/>
      <w:tblStyleColBandSize w:val="1"/>
      <w:tblCellMar>
        <w:left w:w="108" w:type="dxa"/>
        <w:right w:w="108"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table" w:customStyle="1" w:styleId="a3">
    <w:basedOn w:val="TableNormal0"/>
    <w:tblPr>
      <w:tblStyleRowBandSize w:val="1"/>
      <w:tblStyleColBandSize w:val="1"/>
      <w:tblCellMar>
        <w:top w:w="100" w:type="dxa"/>
        <w:left w:w="100" w:type="dxa"/>
        <w:bottom w:w="100" w:type="dxa"/>
        <w:right w:w="100" w:type="dxa"/>
      </w:tblCellMar>
    </w:tblPr>
  </w:style>
  <w:style w:type="table" w:customStyle="1" w:styleId="a4">
    <w:basedOn w:val="TableNormal0"/>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30548B"/>
    <w:pPr>
      <w:tabs>
        <w:tab w:val="center" w:pos="4419"/>
        <w:tab w:val="right" w:pos="8838"/>
      </w:tabs>
      <w:spacing w:after="0"/>
    </w:pPr>
  </w:style>
  <w:style w:type="character" w:customStyle="1" w:styleId="EncabezadoCar">
    <w:name w:val="Encabezado Car"/>
    <w:basedOn w:val="Fuentedeprrafopredeter"/>
    <w:link w:val="Encabezado"/>
    <w:uiPriority w:val="99"/>
    <w:rsid w:val="0030548B"/>
  </w:style>
  <w:style w:type="paragraph" w:styleId="Piedepgina">
    <w:name w:val="footer"/>
    <w:basedOn w:val="Normal"/>
    <w:link w:val="PiedepginaCar"/>
    <w:uiPriority w:val="99"/>
    <w:unhideWhenUsed/>
    <w:rsid w:val="0030548B"/>
    <w:pPr>
      <w:tabs>
        <w:tab w:val="center" w:pos="4419"/>
        <w:tab w:val="right" w:pos="8838"/>
      </w:tabs>
      <w:spacing w:after="0"/>
    </w:pPr>
  </w:style>
  <w:style w:type="character" w:customStyle="1" w:styleId="PiedepginaCar">
    <w:name w:val="Pie de página Car"/>
    <w:basedOn w:val="Fuentedeprrafopredeter"/>
    <w:link w:val="Piedepgina"/>
    <w:uiPriority w:val="99"/>
    <w:rsid w:val="0030548B"/>
  </w:style>
  <w:style w:type="table" w:customStyle="1" w:styleId="a5">
    <w:basedOn w:val="TableNormal0"/>
    <w:tblPr>
      <w:tblStyleRowBandSize w:val="1"/>
      <w:tblStyleColBandSize w:val="1"/>
      <w:tblCellMar>
        <w:left w:w="70" w:type="dxa"/>
        <w:right w:w="70" w:type="dxa"/>
      </w:tblCellMar>
    </w:tblPr>
  </w:style>
  <w:style w:type="table" w:customStyle="1" w:styleId="a6">
    <w:basedOn w:val="TableNormal0"/>
    <w:tblPr>
      <w:tblStyleRowBandSize w:val="1"/>
      <w:tblStyleColBandSize w:val="1"/>
      <w:tblCellMar>
        <w:left w:w="70" w:type="dxa"/>
        <w:right w:w="70" w:type="dxa"/>
      </w:tblCellMar>
    </w:tblPr>
  </w:style>
  <w:style w:type="table" w:customStyle="1" w:styleId="a7">
    <w:basedOn w:val="TableNormal0"/>
    <w:tblPr>
      <w:tblStyleRowBandSize w:val="1"/>
      <w:tblStyleColBandSize w:val="1"/>
      <w:tblCellMar>
        <w:left w:w="70" w:type="dxa"/>
        <w:right w:w="70" w:type="dxa"/>
      </w:tblCellMar>
    </w:tblPr>
  </w:style>
  <w:style w:type="table" w:customStyle="1" w:styleId="a8">
    <w:basedOn w:val="TableNormal0"/>
    <w:tblPr>
      <w:tblStyleRowBandSize w:val="1"/>
      <w:tblStyleColBandSize w:val="1"/>
      <w:tblCellMar>
        <w:left w:w="70" w:type="dxa"/>
        <w:right w:w="70" w:type="dxa"/>
      </w:tblCellMar>
    </w:tblPr>
  </w:style>
  <w:style w:type="table" w:customStyle="1" w:styleId="a9">
    <w:basedOn w:val="TableNormal0"/>
    <w:tblPr>
      <w:tblStyleRowBandSize w:val="1"/>
      <w:tblStyleColBandSize w:val="1"/>
      <w:tblCellMar>
        <w:left w:w="70" w:type="dxa"/>
        <w:right w:w="70" w:type="dxa"/>
      </w:tblCellMar>
    </w:tblPr>
  </w:style>
  <w:style w:type="table" w:customStyle="1" w:styleId="aa">
    <w:basedOn w:val="TableNormal0"/>
    <w:tblPr>
      <w:tblStyleRowBandSize w:val="1"/>
      <w:tblStyleColBandSize w:val="1"/>
      <w:tblCellMar>
        <w:left w:w="70" w:type="dxa"/>
        <w:right w:w="70" w:type="dxa"/>
      </w:tblCellMar>
    </w:tblPr>
  </w:style>
  <w:style w:type="table" w:customStyle="1" w:styleId="ab">
    <w:basedOn w:val="TableNormal0"/>
    <w:tblPr>
      <w:tblStyleRowBandSize w:val="1"/>
      <w:tblStyleColBandSize w:val="1"/>
      <w:tblCellMar>
        <w:left w:w="70" w:type="dxa"/>
        <w:right w:w="70" w:type="dxa"/>
      </w:tblCellMar>
    </w:tblPr>
  </w:style>
  <w:style w:type="table" w:customStyle="1" w:styleId="ac">
    <w:basedOn w:val="TableNormal0"/>
    <w:tblPr>
      <w:tblStyleRowBandSize w:val="1"/>
      <w:tblStyleColBandSize w:val="1"/>
      <w:tblCellMar>
        <w:left w:w="70" w:type="dxa"/>
        <w:right w:w="70" w:type="dxa"/>
      </w:tblCellMar>
    </w:tblPr>
  </w:style>
  <w:style w:type="table" w:customStyle="1" w:styleId="ad">
    <w:basedOn w:val="TableNormal0"/>
    <w:tblPr>
      <w:tblStyleRowBandSize w:val="1"/>
      <w:tblStyleColBandSize w:val="1"/>
      <w:tblCellMar>
        <w:left w:w="70" w:type="dxa"/>
        <w:right w:w="70" w:type="dxa"/>
      </w:tblCellMar>
    </w:tblPr>
  </w:style>
  <w:style w:type="table" w:customStyle="1" w:styleId="ae">
    <w:basedOn w:val="TableNormal0"/>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9/0nlvw/zCHVZGuDGLhJsb76lQ==">CgMxLjAyCWguMzBqMHpsbDINaC56czExeGdydDZ3bjIIaC5namRneHMyCWguMWZvYjl0ZTgAciExNnJZek5wOWVhZVdzcUE2UzJsQzBzOXpNdXI4SUV4ZWQ=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5279</Words>
  <Characters>30093</Characters>
  <Application>Microsoft Office Word</Application>
  <DocSecurity>0</DocSecurity>
  <Lines>250</Lines>
  <Paragraphs>70</Paragraphs>
  <ScaleCrop>false</ScaleCrop>
  <Company>UTP</Company>
  <LinksUpToDate>false</LinksUpToDate>
  <CharactersWithSpaces>35302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UTP</dc:creator>
  <cp:lastModifiedBy>Leo Gaviria</cp:lastModifiedBy>
  <cp:revision>3</cp:revision>
  <dcterms:created xsi:type="dcterms:W3CDTF">2023-07-17T19:30:00Z</dcterms:created>
  <dcterms:modified xsi:type="dcterms:W3CDTF">2025-04-22T19:58:00Z</dcterms:modified>
</cp:coreProperties>
</file>